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3765F" w14:textId="77777777" w:rsidR="00CA59D7" w:rsidRPr="00FF5684" w:rsidRDefault="00CA59D7">
      <w:pPr>
        <w:ind w:left="57"/>
        <w:rPr>
          <w:rFonts w:ascii="Arial Narrow" w:hAnsi="Arial Narrow"/>
          <w:b/>
          <w:bCs/>
          <w:color w:val="006699"/>
          <w:sz w:val="20"/>
          <w:szCs w:val="20"/>
          <w:u w:color="006699"/>
          <w:lang w:val="en-GB"/>
        </w:rPr>
      </w:pPr>
    </w:p>
    <w:p w14:paraId="3EF74540" w14:textId="77777777" w:rsidR="00CA59D7" w:rsidRPr="00FF5684" w:rsidRDefault="00CA59D7" w:rsidP="0033615C">
      <w:pPr>
        <w:rPr>
          <w:rFonts w:ascii="Arial Narrow" w:hAnsi="Arial Narrow"/>
          <w:b/>
          <w:bCs/>
          <w:color w:val="006699"/>
          <w:sz w:val="20"/>
          <w:szCs w:val="20"/>
          <w:u w:color="006699"/>
          <w:lang w:val="en-GB"/>
        </w:rPr>
      </w:pPr>
    </w:p>
    <w:p w14:paraId="2F287581" w14:textId="77777777" w:rsidR="00CA59D7" w:rsidRPr="00FF5684" w:rsidRDefault="00CA59D7">
      <w:pPr>
        <w:ind w:left="57"/>
        <w:jc w:val="center"/>
        <w:rPr>
          <w:rFonts w:ascii="Arial Narrow" w:hAnsi="Arial Narrow"/>
          <w:b/>
          <w:bCs/>
          <w:color w:val="006699"/>
          <w:sz w:val="20"/>
          <w:szCs w:val="20"/>
          <w:u w:color="006699"/>
          <w:lang w:val="en-GB"/>
        </w:rPr>
      </w:pPr>
    </w:p>
    <w:p w14:paraId="3E3093C1" w14:textId="77777777" w:rsidR="00CA59D7" w:rsidRPr="00FF5684" w:rsidRDefault="00C03B6F">
      <w:pPr>
        <w:ind w:left="57"/>
        <w:jc w:val="center"/>
        <w:rPr>
          <w:rFonts w:ascii="Arial Narrow" w:eastAsia="Arial" w:hAnsi="Arial Narrow" w:cs="Arial"/>
          <w:b/>
          <w:bCs/>
          <w:color w:val="006699"/>
          <w:sz w:val="20"/>
          <w:szCs w:val="20"/>
          <w:u w:color="006699"/>
          <w:lang w:val="en-GB"/>
        </w:rPr>
      </w:pPr>
      <w:r w:rsidRPr="00FF5684">
        <w:rPr>
          <w:rFonts w:ascii="Arial Narrow" w:hAnsi="Arial Narrow"/>
          <w:b/>
          <w:bCs/>
          <w:color w:val="006699"/>
          <w:sz w:val="20"/>
          <w:szCs w:val="20"/>
          <w:u w:color="006699"/>
          <w:lang w:val="en-GB"/>
        </w:rPr>
        <w:t>COURSE OUTLINE</w:t>
      </w:r>
    </w:p>
    <w:p w14:paraId="68A12E4D" w14:textId="77777777" w:rsidR="00CA59D7" w:rsidRPr="00FF5684" w:rsidRDefault="00CA59D7">
      <w:pPr>
        <w:ind w:left="57"/>
        <w:jc w:val="both"/>
        <w:rPr>
          <w:rFonts w:ascii="Arial Narrow" w:eastAsia="Arial" w:hAnsi="Arial Narrow" w:cs="Arial"/>
          <w:b/>
          <w:bCs/>
          <w:color w:val="006699"/>
          <w:sz w:val="20"/>
          <w:szCs w:val="20"/>
          <w:u w:color="006699"/>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09906E7D" w14:textId="77777777">
        <w:trPr>
          <w:trHeight w:val="228"/>
        </w:trPr>
        <w:tc>
          <w:tcPr>
            <w:tcW w:w="9889" w:type="dxa"/>
            <w:gridSpan w:val="2"/>
            <w:tcBorders>
              <w:top w:val="nil"/>
              <w:left w:val="nil"/>
              <w:bottom w:val="single" w:sz="4" w:space="0" w:color="000000"/>
              <w:right w:val="nil"/>
            </w:tcBorders>
            <w:shd w:val="clear" w:color="auto" w:fill="auto"/>
            <w:tcMar>
              <w:top w:w="80" w:type="dxa"/>
              <w:left w:w="80" w:type="dxa"/>
              <w:bottom w:w="80" w:type="dxa"/>
              <w:right w:w="80" w:type="dxa"/>
            </w:tcMar>
            <w:vAlign w:val="center"/>
          </w:tcPr>
          <w:p w14:paraId="0A7A1BFD" w14:textId="77777777" w:rsidR="00CA59D7" w:rsidRPr="00FF5684" w:rsidRDefault="00C03B6F">
            <w:pPr>
              <w:numPr>
                <w:ilvl w:val="0"/>
                <w:numId w:val="1"/>
              </w:numPr>
              <w:rPr>
                <w:rFonts w:ascii="Arial Narrow" w:hAnsi="Arial Narrow"/>
                <w:sz w:val="20"/>
                <w:szCs w:val="20"/>
                <w:lang w:val="en-GB"/>
              </w:rPr>
            </w:pPr>
            <w:r w:rsidRPr="00FF5684">
              <w:rPr>
                <w:rFonts w:ascii="Arial Narrow" w:hAnsi="Arial Narrow"/>
                <w:b/>
                <w:bCs/>
                <w:sz w:val="20"/>
                <w:szCs w:val="20"/>
                <w:lang w:val="en-GB"/>
              </w:rPr>
              <w:t>Information about the program</w:t>
            </w:r>
          </w:p>
        </w:tc>
      </w:tr>
      <w:tr w:rsidR="00CA59D7" w:rsidRPr="00FF5684" w14:paraId="309E773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4EB600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1.1</w:t>
            </w:r>
            <w:r w:rsidRPr="00FF5684">
              <w:rPr>
                <w:rFonts w:ascii="Arial Narrow" w:hAnsi="Arial Narrow"/>
                <w:sz w:val="20"/>
                <w:szCs w:val="20"/>
                <w:lang w:val="en-GB"/>
              </w:rPr>
              <w:t xml:space="preserve"> Higher education institution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CF528B" w14:textId="5D588FB9"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 “Alexandru Ioan Cuza” University of Iaşi</w:t>
            </w:r>
          </w:p>
        </w:tc>
      </w:tr>
      <w:tr w:rsidR="00CA59D7" w:rsidRPr="00FF5684" w14:paraId="1CB2123E"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502ED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1.2 </w:t>
            </w:r>
            <w:r w:rsidRPr="00FF5684">
              <w:rPr>
                <w:rFonts w:ascii="Arial Narrow" w:hAnsi="Arial Narrow"/>
                <w:sz w:val="20"/>
                <w:szCs w:val="20"/>
                <w:lang w:val="en-GB"/>
              </w:rPr>
              <w:t>Faculty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122520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Faculty of Economics and Business Administration</w:t>
            </w:r>
          </w:p>
        </w:tc>
      </w:tr>
      <w:tr w:rsidR="00CA59D7" w:rsidRPr="00FF5684" w14:paraId="4B281957"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2C7236" w14:textId="680EE8BC"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3</w:t>
            </w:r>
            <w:r w:rsidRPr="00FF5684">
              <w:rPr>
                <w:rFonts w:ascii="Arial Narrow" w:hAnsi="Arial Narrow"/>
                <w:sz w:val="20"/>
                <w:szCs w:val="20"/>
                <w:lang w:val="en-GB"/>
              </w:rPr>
              <w:t xml:space="preserve"> Cycle of study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265218" w14:textId="2A672AFD" w:rsidR="00CA59D7" w:rsidRPr="00FF5684" w:rsidRDefault="0033615C">
            <w:pPr>
              <w:ind w:left="57"/>
              <w:rPr>
                <w:rFonts w:ascii="Arial Narrow" w:hAnsi="Arial Narrow"/>
                <w:sz w:val="20"/>
                <w:szCs w:val="20"/>
                <w:lang w:val="en-GB"/>
              </w:rPr>
            </w:pPr>
            <w:r w:rsidRPr="00FF5684">
              <w:rPr>
                <w:rFonts w:ascii="Arial Narrow" w:hAnsi="Arial Narrow"/>
                <w:b/>
                <w:bCs/>
                <w:sz w:val="20"/>
                <w:szCs w:val="20"/>
                <w:lang w:val="en-GB"/>
              </w:rPr>
              <w:t xml:space="preserve">Bachelor, </w:t>
            </w:r>
            <w:r w:rsidR="0068517A" w:rsidRPr="00FF5684">
              <w:rPr>
                <w:rFonts w:ascii="Arial Narrow" w:hAnsi="Arial Narrow"/>
                <w:b/>
                <w:bCs/>
                <w:sz w:val="20"/>
                <w:szCs w:val="20"/>
                <w:lang w:val="en-GB"/>
              </w:rPr>
              <w:t>M</w:t>
            </w:r>
            <w:r w:rsidR="00C03B6F" w:rsidRPr="00FF5684">
              <w:rPr>
                <w:rFonts w:ascii="Arial Narrow" w:hAnsi="Arial Narrow"/>
                <w:b/>
                <w:bCs/>
                <w:sz w:val="20"/>
                <w:szCs w:val="20"/>
                <w:lang w:val="en-GB"/>
              </w:rPr>
              <w:t>aster</w:t>
            </w:r>
            <w:r w:rsidRPr="00FF5684">
              <w:rPr>
                <w:rFonts w:ascii="Arial Narrow" w:hAnsi="Arial Narrow"/>
                <w:b/>
                <w:bCs/>
                <w:sz w:val="20"/>
                <w:szCs w:val="20"/>
                <w:lang w:val="en-GB"/>
              </w:rPr>
              <w:t xml:space="preserve"> and Youth Researchers</w:t>
            </w:r>
          </w:p>
        </w:tc>
      </w:tr>
      <w:tr w:rsidR="00CA59D7" w:rsidRPr="00FF5684" w14:paraId="4D07E318"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C610867" w14:textId="61B60E63"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w:t>
            </w:r>
            <w:r w:rsidR="008C4744" w:rsidRPr="00FF5684">
              <w:rPr>
                <w:rFonts w:ascii="Arial Narrow" w:hAnsi="Arial Narrow"/>
                <w:b/>
                <w:bCs/>
                <w:sz w:val="20"/>
                <w:szCs w:val="20"/>
                <w:lang w:val="en-GB"/>
              </w:rPr>
              <w:t>4</w:t>
            </w:r>
            <w:r w:rsidRPr="00FF5684">
              <w:rPr>
                <w:rFonts w:ascii="Arial Narrow" w:hAnsi="Arial Narrow"/>
                <w:sz w:val="20"/>
                <w:szCs w:val="20"/>
                <w:lang w:val="en-GB"/>
              </w:rPr>
              <w:t xml:space="preserve"> Study program / Qualification</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838CA1" w14:textId="77777777" w:rsidR="0047562B" w:rsidRPr="00FF5684" w:rsidRDefault="0033615C" w:rsidP="0047562B">
            <w:pPr>
              <w:ind w:left="57"/>
              <w:rPr>
                <w:rFonts w:ascii="Arial Narrow" w:hAnsi="Arial Narrow"/>
                <w:b/>
                <w:bCs/>
                <w:sz w:val="20"/>
                <w:szCs w:val="20"/>
                <w:lang w:val="en-GB"/>
              </w:rPr>
            </w:pPr>
            <w:r w:rsidRPr="00FF5684">
              <w:rPr>
                <w:rFonts w:ascii="Arial Narrow" w:hAnsi="Arial Narrow"/>
                <w:b/>
                <w:bCs/>
                <w:sz w:val="20"/>
                <w:szCs w:val="20"/>
                <w:lang w:val="en-GB"/>
              </w:rPr>
              <w:t xml:space="preserve">Summer School </w:t>
            </w:r>
          </w:p>
          <w:p w14:paraId="3906E6DF" w14:textId="77777777" w:rsidR="00CA59D7" w:rsidRPr="00FF5684" w:rsidRDefault="0047562B" w:rsidP="0047562B">
            <w:pPr>
              <w:ind w:left="57"/>
              <w:rPr>
                <w:rFonts w:ascii="Arial Narrow" w:hAnsi="Arial Narrow"/>
                <w:sz w:val="20"/>
                <w:szCs w:val="20"/>
                <w:lang w:val="en-GB"/>
              </w:rPr>
            </w:pPr>
            <w:r w:rsidRPr="00FF5684">
              <w:rPr>
                <w:rFonts w:ascii="Arial Narrow" w:hAnsi="Arial Narrow"/>
                <w:sz w:val="20"/>
                <w:szCs w:val="20"/>
                <w:lang w:val="en-GB"/>
              </w:rPr>
              <w:t>„European Smart Cities for Sustainable Development (SmartEU)”</w:t>
            </w:r>
          </w:p>
          <w:p w14:paraId="118C438B" w14:textId="220CB212" w:rsidR="005418B5" w:rsidRPr="00FF5684" w:rsidRDefault="005418B5" w:rsidP="005418B5">
            <w:pPr>
              <w:ind w:left="57"/>
              <w:rPr>
                <w:rFonts w:ascii="Arial Narrow" w:hAnsi="Arial Narrow"/>
                <w:sz w:val="20"/>
                <w:szCs w:val="20"/>
                <w:lang w:val="en-GB"/>
              </w:rPr>
            </w:pPr>
            <w:r w:rsidRPr="00FF5684">
              <w:rPr>
                <w:rFonts w:ascii="Arial Narrow" w:hAnsi="Arial Narrow"/>
                <w:sz w:val="20"/>
                <w:szCs w:val="20"/>
                <w:lang w:val="en-GB"/>
              </w:rPr>
              <w:t>Project no. 620415-EPP-1-2020-1-RO-EPPJMO-MODULE.</w:t>
            </w:r>
          </w:p>
        </w:tc>
      </w:tr>
    </w:tbl>
    <w:p w14:paraId="429FE104"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9"/>
        <w:gridCol w:w="1570"/>
        <w:gridCol w:w="1276"/>
        <w:gridCol w:w="567"/>
        <w:gridCol w:w="1984"/>
        <w:gridCol w:w="567"/>
        <w:gridCol w:w="1701"/>
        <w:gridCol w:w="415"/>
      </w:tblGrid>
      <w:tr w:rsidR="00CA59D7" w:rsidRPr="00FF5684" w14:paraId="2627599E" w14:textId="77777777">
        <w:trPr>
          <w:trHeight w:val="228"/>
        </w:trPr>
        <w:tc>
          <w:tcPr>
            <w:tcW w:w="9889" w:type="dxa"/>
            <w:gridSpan w:val="8"/>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A88335E"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 Information about the course</w:t>
            </w:r>
          </w:p>
        </w:tc>
      </w:tr>
      <w:tr w:rsidR="00CA59D7" w:rsidRPr="00FF5684" w14:paraId="4B94670F" w14:textId="77777777" w:rsidTr="003B1B51">
        <w:trPr>
          <w:trHeight w:val="223"/>
        </w:trPr>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A5CC4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2.1</w:t>
            </w:r>
            <w:r w:rsidRPr="00FF5684">
              <w:rPr>
                <w:rFonts w:ascii="Arial Narrow" w:hAnsi="Arial Narrow"/>
                <w:sz w:val="20"/>
                <w:szCs w:val="20"/>
                <w:lang w:val="en-GB"/>
              </w:rPr>
              <w:t xml:space="preserve"> Course title</w:t>
            </w:r>
          </w:p>
        </w:tc>
        <w:tc>
          <w:tcPr>
            <w:tcW w:w="52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99A9D61" w14:textId="3FA3C903" w:rsidR="00CA59D7" w:rsidRPr="00FF5684" w:rsidRDefault="00FD33ED">
            <w:pPr>
              <w:ind w:left="57"/>
              <w:rPr>
                <w:rFonts w:ascii="Arial Narrow" w:hAnsi="Arial Narrow"/>
                <w:sz w:val="20"/>
                <w:szCs w:val="20"/>
                <w:lang w:val="en-GB"/>
              </w:rPr>
            </w:pPr>
            <w:r w:rsidRPr="00FF5684">
              <w:rPr>
                <w:rFonts w:ascii="Arial Narrow" w:hAnsi="Arial Narrow"/>
                <w:b/>
                <w:bCs/>
                <w:sz w:val="20"/>
                <w:szCs w:val="20"/>
                <w:lang w:val="en-GB"/>
              </w:rPr>
              <w:t>NEW FORMS OF EMPLOYMENT ACROSS EUROPEAN UNION</w:t>
            </w:r>
          </w:p>
        </w:tc>
      </w:tr>
      <w:tr w:rsidR="00CA59D7" w:rsidRPr="00FF5684" w14:paraId="6C05FA67" w14:textId="77777777" w:rsidTr="003B1B51">
        <w:trPr>
          <w:trHeight w:val="223"/>
        </w:trPr>
        <w:tc>
          <w:tcPr>
            <w:tcW w:w="46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42759B"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2.2</w:t>
            </w:r>
            <w:r w:rsidRPr="00FF5684">
              <w:rPr>
                <w:rFonts w:ascii="Arial Narrow" w:hAnsi="Arial Narrow"/>
                <w:sz w:val="20"/>
                <w:szCs w:val="20"/>
                <w:lang w:val="en-GB"/>
              </w:rPr>
              <w:t xml:space="preserve"> Course coordinator</w:t>
            </w:r>
          </w:p>
        </w:tc>
        <w:tc>
          <w:tcPr>
            <w:tcW w:w="523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A675E6" w14:textId="35C1531A" w:rsidR="00CA59D7" w:rsidRPr="00FF5684" w:rsidRDefault="006120A5">
            <w:pPr>
              <w:ind w:left="57"/>
              <w:rPr>
                <w:rFonts w:ascii="Arial Narrow" w:hAnsi="Arial Narrow"/>
                <w:sz w:val="20"/>
                <w:szCs w:val="20"/>
                <w:lang w:val="en-GB"/>
              </w:rPr>
            </w:pPr>
            <w:r w:rsidRPr="00FF5684">
              <w:rPr>
                <w:rFonts w:ascii="Arial Narrow" w:hAnsi="Arial Narrow"/>
                <w:sz w:val="20"/>
                <w:szCs w:val="20"/>
                <w:lang w:val="en-GB"/>
              </w:rPr>
              <w:t>Professor, PhD. Hab.</w:t>
            </w:r>
            <w:r w:rsidR="00C03B6F" w:rsidRPr="00FF5684">
              <w:rPr>
                <w:rFonts w:ascii="Arial Narrow" w:hAnsi="Arial Narrow"/>
                <w:sz w:val="20"/>
                <w:szCs w:val="20"/>
                <w:lang w:val="en-GB"/>
              </w:rPr>
              <w:t xml:space="preserve"> </w:t>
            </w:r>
            <w:r w:rsidR="00C03B6F" w:rsidRPr="00FF5684">
              <w:rPr>
                <w:rFonts w:ascii="Arial Narrow" w:hAnsi="Arial Narrow"/>
                <w:b/>
                <w:bCs/>
                <w:sz w:val="20"/>
                <w:szCs w:val="20"/>
                <w:lang w:val="en-GB"/>
              </w:rPr>
              <w:t>Ana-Maria Bercu</w:t>
            </w:r>
          </w:p>
        </w:tc>
      </w:tr>
      <w:tr w:rsidR="00CA59D7" w:rsidRPr="00FF5684" w14:paraId="6C5F811A" w14:textId="77777777" w:rsidTr="003B1B51">
        <w:trPr>
          <w:trHeight w:val="443"/>
        </w:trPr>
        <w:tc>
          <w:tcPr>
            <w:tcW w:w="1809"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4EFAF4A" w14:textId="60292DFF"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3</w:t>
            </w:r>
            <w:r w:rsidRPr="00FF5684">
              <w:rPr>
                <w:rFonts w:ascii="Arial Narrow" w:hAnsi="Arial Narrow"/>
                <w:sz w:val="20"/>
                <w:szCs w:val="20"/>
                <w:lang w:val="en-GB"/>
              </w:rPr>
              <w:t xml:space="preserve"> Year of study</w:t>
            </w:r>
          </w:p>
        </w:tc>
        <w:tc>
          <w:tcPr>
            <w:tcW w:w="157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24A031" w14:textId="3003978B" w:rsidR="00CA59D7" w:rsidRPr="00FF5684" w:rsidRDefault="003B1B51">
            <w:pPr>
              <w:ind w:left="57"/>
              <w:jc w:val="center"/>
              <w:rPr>
                <w:rFonts w:ascii="Arial Narrow" w:hAnsi="Arial Narrow"/>
                <w:sz w:val="20"/>
                <w:szCs w:val="20"/>
                <w:lang w:val="en-GB"/>
              </w:rPr>
            </w:pPr>
            <w:r w:rsidRPr="003B1B51">
              <w:rPr>
                <w:rFonts w:ascii="Arial Narrow" w:hAnsi="Arial Narrow"/>
                <w:sz w:val="20"/>
                <w:szCs w:val="20"/>
                <w:lang w:val="en-GB"/>
              </w:rPr>
              <w:t>A</w:t>
            </w:r>
            <w:r w:rsidRPr="003B1B51">
              <w:rPr>
                <w:rFonts w:ascii="Arial Narrow" w:hAnsi="Arial Narrow"/>
                <w:sz w:val="20"/>
                <w:szCs w:val="20"/>
                <w:lang w:val="en-GB"/>
              </w:rPr>
              <w:t>ll years of study</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A2270BC" w14:textId="0E36D55A"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4</w:t>
            </w:r>
            <w:r w:rsidRPr="00FF5684">
              <w:rPr>
                <w:rFonts w:ascii="Arial Narrow" w:hAnsi="Arial Narrow"/>
                <w:sz w:val="20"/>
                <w:szCs w:val="20"/>
                <w:lang w:val="en-GB"/>
              </w:rPr>
              <w:t xml:space="preserve"> </w:t>
            </w:r>
            <w:r w:rsidR="0068517A" w:rsidRPr="00FF5684">
              <w:rPr>
                <w:rFonts w:ascii="Arial Narrow" w:hAnsi="Arial Narrow"/>
                <w:sz w:val="20"/>
                <w:szCs w:val="20"/>
                <w:lang w:val="en-GB"/>
              </w:rPr>
              <w:t>Semester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4BBC95" w14:textId="2535C21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8E6344" w14:textId="684F7C46"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2.</w:t>
            </w:r>
            <w:r w:rsidR="00364E2C" w:rsidRPr="00FF5684">
              <w:rPr>
                <w:rFonts w:ascii="Arial Narrow" w:hAnsi="Arial Narrow"/>
                <w:b/>
                <w:bCs/>
                <w:sz w:val="20"/>
                <w:szCs w:val="20"/>
                <w:lang w:val="en-GB"/>
              </w:rPr>
              <w:t>5</w:t>
            </w:r>
            <w:r w:rsidRPr="00FF5684">
              <w:rPr>
                <w:rFonts w:ascii="Arial Narrow" w:hAnsi="Arial Narrow"/>
                <w:sz w:val="20"/>
                <w:szCs w:val="20"/>
                <w:lang w:val="en-GB"/>
              </w:rPr>
              <w:t xml:space="preserve"> Type of evaluation*</w:t>
            </w:r>
          </w:p>
        </w:tc>
        <w:tc>
          <w:tcPr>
            <w:tcW w:w="567"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82F7F3" w14:textId="3819B123" w:rsidR="00CA59D7" w:rsidRPr="00FF5684" w:rsidRDefault="00AA5863">
            <w:pPr>
              <w:ind w:left="57"/>
              <w:jc w:val="center"/>
              <w:rPr>
                <w:rFonts w:ascii="Arial Narrow" w:hAnsi="Arial Narrow"/>
                <w:sz w:val="20"/>
                <w:szCs w:val="20"/>
                <w:lang w:val="en-GB"/>
              </w:rPr>
            </w:pPr>
            <w:r w:rsidRPr="00FF5684">
              <w:rPr>
                <w:rFonts w:ascii="Arial Narrow" w:hAnsi="Arial Narrow"/>
                <w:b/>
                <w:bCs/>
                <w:sz w:val="20"/>
                <w:szCs w:val="20"/>
                <w:lang w:val="en-GB"/>
              </w:rPr>
              <w:t>M</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A6F13B9" w14:textId="02DD5AD4" w:rsidR="00CA59D7" w:rsidRPr="00FF5684" w:rsidRDefault="00C03B6F">
            <w:pPr>
              <w:ind w:left="57"/>
              <w:rPr>
                <w:rFonts w:ascii="Arial Narrow" w:hAnsi="Arial Narrow"/>
                <w:sz w:val="20"/>
                <w:szCs w:val="20"/>
                <w:lang w:val="en-GB"/>
              </w:rPr>
            </w:pPr>
            <w:r w:rsidRPr="00FF5684">
              <w:rPr>
                <w:rFonts w:ascii="Arial Narrow" w:hAnsi="Arial Narrow"/>
                <w:b/>
                <w:bCs/>
                <w:spacing w:val="-1"/>
                <w:sz w:val="20"/>
                <w:szCs w:val="20"/>
                <w:lang w:val="en-GB"/>
              </w:rPr>
              <w:t>2.</w:t>
            </w:r>
            <w:r w:rsidR="00364E2C" w:rsidRPr="00FF5684">
              <w:rPr>
                <w:rFonts w:ascii="Arial Narrow" w:hAnsi="Arial Narrow"/>
                <w:b/>
                <w:bCs/>
                <w:spacing w:val="-1"/>
                <w:sz w:val="20"/>
                <w:szCs w:val="20"/>
                <w:lang w:val="en-GB"/>
              </w:rPr>
              <w:t>6</w:t>
            </w:r>
            <w:r w:rsidRPr="00FF5684">
              <w:rPr>
                <w:rFonts w:ascii="Arial Narrow" w:hAnsi="Arial Narrow"/>
                <w:spacing w:val="-1"/>
                <w:sz w:val="20"/>
                <w:szCs w:val="20"/>
                <w:lang w:val="en-GB"/>
              </w:rPr>
              <w:t xml:space="preserve"> Course status</w:t>
            </w:r>
            <w:r w:rsidRPr="00FF5684">
              <w:rPr>
                <w:rFonts w:ascii="Arial Narrow" w:hAnsi="Arial Narrow"/>
                <w:spacing w:val="-1"/>
                <w:sz w:val="20"/>
                <w:szCs w:val="20"/>
                <w:vertAlign w:val="superscript"/>
                <w:lang w:val="en-GB"/>
              </w:rPr>
              <w:t>**</w:t>
            </w:r>
          </w:p>
        </w:tc>
        <w:tc>
          <w:tcPr>
            <w:tcW w:w="41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32547028" w14:textId="748E29E5" w:rsidR="00CA59D7" w:rsidRPr="00FF5684" w:rsidRDefault="008C4744">
            <w:pPr>
              <w:ind w:left="57"/>
              <w:jc w:val="center"/>
              <w:rPr>
                <w:rFonts w:ascii="Arial Narrow" w:hAnsi="Arial Narrow"/>
                <w:sz w:val="20"/>
                <w:szCs w:val="20"/>
                <w:lang w:val="en-GB"/>
              </w:rPr>
            </w:pPr>
            <w:r w:rsidRPr="00FF5684">
              <w:rPr>
                <w:rFonts w:ascii="Arial Narrow" w:hAnsi="Arial Narrow"/>
                <w:b/>
                <w:bCs/>
                <w:sz w:val="20"/>
                <w:szCs w:val="20"/>
                <w:lang w:val="en-GB"/>
              </w:rPr>
              <w:t>O</w:t>
            </w:r>
          </w:p>
        </w:tc>
      </w:tr>
    </w:tbl>
    <w:p w14:paraId="26E8A2BB" w14:textId="77777777" w:rsidR="00CA59D7" w:rsidRPr="00FF5684" w:rsidRDefault="00C03B6F">
      <w:pPr>
        <w:ind w:left="57"/>
        <w:rPr>
          <w:rFonts w:ascii="Arial Narrow" w:eastAsia="Arial" w:hAnsi="Arial Narrow" w:cs="Arial"/>
          <w:i/>
          <w:iCs/>
          <w:sz w:val="20"/>
          <w:szCs w:val="20"/>
          <w:lang w:val="en-GB"/>
        </w:rPr>
      </w:pPr>
      <w:r w:rsidRPr="00FF5684">
        <w:rPr>
          <w:rFonts w:ascii="Arial Narrow" w:hAnsi="Arial Narrow"/>
          <w:smallCaps/>
          <w:sz w:val="20"/>
          <w:szCs w:val="20"/>
          <w:lang w:val="en-GB"/>
        </w:rPr>
        <w:t xml:space="preserve">* </w:t>
      </w:r>
      <w:r w:rsidRPr="00FF5684">
        <w:rPr>
          <w:rFonts w:ascii="Arial Narrow" w:hAnsi="Arial Narrow"/>
          <w:i/>
          <w:iCs/>
          <w:smallCaps/>
          <w:sz w:val="20"/>
          <w:szCs w:val="20"/>
          <w:lang w:val="en-GB"/>
        </w:rPr>
        <w:t xml:space="preserve">MT-mid-term, O-oral exam, E-exam, M-mixed;  </w:t>
      </w:r>
      <w:r w:rsidRPr="00FF5684">
        <w:rPr>
          <w:rFonts w:ascii="Arial Narrow" w:hAnsi="Arial Narrow"/>
          <w:sz w:val="20"/>
          <w:szCs w:val="20"/>
          <w:lang w:val="en-GB"/>
        </w:rPr>
        <w:t xml:space="preserve">** </w:t>
      </w:r>
      <w:r w:rsidRPr="00FF5684">
        <w:rPr>
          <w:rFonts w:ascii="Arial Narrow" w:hAnsi="Arial Narrow"/>
          <w:i/>
          <w:iCs/>
          <w:sz w:val="20"/>
          <w:szCs w:val="20"/>
          <w:lang w:val="en-GB"/>
        </w:rPr>
        <w:t>C-compulsory/</w:t>
      </w:r>
      <w:r w:rsidRPr="00FF5684">
        <w:rPr>
          <w:rFonts w:ascii="Arial Narrow" w:hAnsi="Arial Narrow"/>
          <w:i/>
          <w:iCs/>
          <w:caps/>
          <w:sz w:val="20"/>
          <w:szCs w:val="20"/>
          <w:lang w:val="en-GB"/>
        </w:rPr>
        <w:t>o</w:t>
      </w:r>
      <w:r w:rsidRPr="00FF5684">
        <w:rPr>
          <w:rFonts w:ascii="Arial Narrow" w:hAnsi="Arial Narrow"/>
          <w:i/>
          <w:iCs/>
          <w:sz w:val="20"/>
          <w:szCs w:val="20"/>
          <w:lang w:val="en-GB"/>
        </w:rPr>
        <w:t>-optional/E-elective</w:t>
      </w:r>
    </w:p>
    <w:p w14:paraId="45B7A325" w14:textId="77777777" w:rsidR="00CA59D7" w:rsidRPr="00FF5684" w:rsidRDefault="00CA59D7">
      <w:pPr>
        <w:ind w:left="57"/>
        <w:rPr>
          <w:rFonts w:ascii="Arial Narrow" w:eastAsia="Arial" w:hAnsi="Arial Narrow" w:cs="Arial"/>
          <w:sz w:val="20"/>
          <w:szCs w:val="20"/>
          <w:lang w:val="en-GB"/>
        </w:rPr>
      </w:pPr>
    </w:p>
    <w:tbl>
      <w:tblPr>
        <w:tblW w:w="93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743"/>
        <w:gridCol w:w="605"/>
      </w:tblGrid>
      <w:tr w:rsidR="00CA59D7" w:rsidRPr="00FF5684" w14:paraId="18E5AC5B" w14:textId="77777777">
        <w:trPr>
          <w:trHeight w:val="228"/>
        </w:trPr>
        <w:tc>
          <w:tcPr>
            <w:tcW w:w="9348"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30FA99A9" w14:textId="77777777" w:rsidR="00CA59D7" w:rsidRPr="00FF5684" w:rsidRDefault="00C03B6F">
            <w:pPr>
              <w:spacing w:before="120"/>
              <w:ind w:left="57"/>
              <w:rPr>
                <w:rFonts w:ascii="Arial Narrow" w:hAnsi="Arial Narrow"/>
                <w:sz w:val="20"/>
                <w:szCs w:val="20"/>
                <w:lang w:val="en-GB"/>
              </w:rPr>
            </w:pPr>
            <w:r w:rsidRPr="00FF5684">
              <w:rPr>
                <w:rFonts w:ascii="Arial Narrow" w:hAnsi="Arial Narrow"/>
                <w:b/>
                <w:bCs/>
                <w:sz w:val="20"/>
                <w:szCs w:val="20"/>
                <w:lang w:val="en-GB"/>
              </w:rPr>
              <w:t xml:space="preserve">3. Estimated time allocation </w:t>
            </w:r>
            <w:r w:rsidRPr="00FF5684">
              <w:rPr>
                <w:rFonts w:ascii="Arial Narrow" w:hAnsi="Arial Narrow"/>
                <w:sz w:val="20"/>
                <w:szCs w:val="20"/>
                <w:lang w:val="en-GB"/>
              </w:rPr>
              <w:t>(hours per semester and teaching activities)</w:t>
            </w:r>
          </w:p>
        </w:tc>
      </w:tr>
      <w:tr w:rsidR="00CA59D7" w:rsidRPr="00FF5684" w14:paraId="3298ED53"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14D273"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Time allocation</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BDA591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h</w:t>
            </w:r>
          </w:p>
        </w:tc>
      </w:tr>
      <w:tr w:rsidR="00CA59D7" w:rsidRPr="00FF5684" w14:paraId="4A72297A"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FD5498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Study based on course book, course materials, bibliography and other</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47227EB" w14:textId="351C7FAD"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12</w:t>
            </w:r>
          </w:p>
        </w:tc>
      </w:tr>
      <w:tr w:rsidR="00CA59D7" w:rsidRPr="00FF5684" w14:paraId="796E45F6"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AE15A0"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Supplementary study in the library, on electronic platforms and on the field</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980489B" w14:textId="4DC4615F"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10</w:t>
            </w:r>
          </w:p>
        </w:tc>
      </w:tr>
      <w:tr w:rsidR="00CA59D7" w:rsidRPr="00FF5684" w14:paraId="5FB402C6"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67EDE8A"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Preparing seminars/laboratories, assignments, papers, portfolios and essays</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C2C0477" w14:textId="6B79EC2E" w:rsidR="00CA59D7" w:rsidRPr="00FF5684" w:rsidRDefault="00BB29C4">
            <w:pPr>
              <w:ind w:left="57"/>
              <w:jc w:val="center"/>
              <w:rPr>
                <w:rFonts w:ascii="Arial Narrow" w:hAnsi="Arial Narrow" w:cs="Arial"/>
                <w:sz w:val="20"/>
                <w:szCs w:val="20"/>
                <w:lang w:val="en-GB"/>
              </w:rPr>
            </w:pPr>
            <w:r w:rsidRPr="00FF5684">
              <w:rPr>
                <w:rFonts w:ascii="Arial Narrow" w:hAnsi="Arial Narrow" w:cs="Arial"/>
                <w:sz w:val="20"/>
                <w:szCs w:val="20"/>
                <w:lang w:val="en-GB"/>
              </w:rPr>
              <w:t>10</w:t>
            </w:r>
          </w:p>
        </w:tc>
      </w:tr>
      <w:tr w:rsidR="00CA59D7" w:rsidRPr="00FF5684" w14:paraId="2272F390"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7DB52F4"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Tutorship</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40A1921" w14:textId="6E1A0DDD" w:rsidR="00CA59D7" w:rsidRPr="00FF5684" w:rsidRDefault="007C4C05">
            <w:pPr>
              <w:ind w:left="57"/>
              <w:jc w:val="center"/>
              <w:rPr>
                <w:rFonts w:ascii="Arial Narrow" w:hAnsi="Arial Narrow" w:cs="Arial"/>
                <w:sz w:val="20"/>
                <w:szCs w:val="20"/>
                <w:lang w:val="en-GB"/>
              </w:rPr>
            </w:pPr>
            <w:r w:rsidRPr="00FF5684">
              <w:rPr>
                <w:rFonts w:ascii="Arial Narrow" w:hAnsi="Arial Narrow" w:cs="Arial"/>
                <w:bCs/>
                <w:sz w:val="20"/>
                <w:szCs w:val="20"/>
                <w:lang w:val="en-GB"/>
              </w:rPr>
              <w:t>4</w:t>
            </w:r>
          </w:p>
        </w:tc>
      </w:tr>
      <w:tr w:rsidR="00CA59D7" w:rsidRPr="00FF5684" w14:paraId="3953926F"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EF6965B"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Examination</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4F2FFFE" w14:textId="476B5ABF" w:rsidR="00CA59D7" w:rsidRPr="00FF5684" w:rsidRDefault="005032CA">
            <w:pPr>
              <w:ind w:left="57"/>
              <w:jc w:val="center"/>
              <w:rPr>
                <w:rFonts w:ascii="Arial Narrow" w:hAnsi="Arial Narrow" w:cs="Arial"/>
                <w:sz w:val="20"/>
                <w:szCs w:val="20"/>
                <w:lang w:val="en-GB"/>
              </w:rPr>
            </w:pPr>
            <w:r w:rsidRPr="00FF5684">
              <w:rPr>
                <w:rFonts w:ascii="Arial Narrow" w:hAnsi="Arial Narrow" w:cs="Arial"/>
                <w:bCs/>
                <w:sz w:val="20"/>
                <w:szCs w:val="20"/>
                <w:lang w:val="en-GB"/>
              </w:rPr>
              <w:t>4</w:t>
            </w:r>
          </w:p>
        </w:tc>
      </w:tr>
      <w:tr w:rsidR="00CA59D7" w:rsidRPr="00FF5684" w14:paraId="501EE390"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257A06"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Other activities  ...................................</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6C71FE1" w14:textId="77777777" w:rsidR="00CA59D7" w:rsidRPr="00FF5684" w:rsidRDefault="00CA59D7">
            <w:pPr>
              <w:rPr>
                <w:rFonts w:ascii="Arial Narrow" w:hAnsi="Arial Narrow"/>
                <w:sz w:val="20"/>
                <w:szCs w:val="20"/>
                <w:lang w:val="en-GB"/>
              </w:rPr>
            </w:pPr>
          </w:p>
        </w:tc>
      </w:tr>
      <w:tr w:rsidR="003B1B51" w:rsidRPr="00FF5684" w14:paraId="30CA1C4D" w14:textId="77777777" w:rsidTr="00B40FF5">
        <w:trPr>
          <w:trHeight w:val="223"/>
        </w:trPr>
        <w:tc>
          <w:tcPr>
            <w:tcW w:w="87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3E9E9DB" w14:textId="6DBFF966" w:rsidR="003B1B51" w:rsidRPr="00FF5684" w:rsidRDefault="003B1B51">
            <w:pPr>
              <w:ind w:left="57"/>
              <w:rPr>
                <w:rFonts w:ascii="Arial Narrow" w:hAnsi="Arial Narrow"/>
                <w:sz w:val="20"/>
                <w:szCs w:val="20"/>
                <w:lang w:val="en-GB"/>
              </w:rPr>
            </w:pPr>
            <w:r>
              <w:rPr>
                <w:rFonts w:ascii="Arial Narrow" w:hAnsi="Arial Narrow"/>
                <w:sz w:val="20"/>
                <w:szCs w:val="20"/>
                <w:lang w:val="en-GB"/>
              </w:rPr>
              <w:t>Total</w:t>
            </w:r>
          </w:p>
        </w:tc>
        <w:tc>
          <w:tcPr>
            <w:tcW w:w="60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BD6B4C" w14:textId="4FFD12C3" w:rsidR="003B1B51" w:rsidRPr="00FF5684" w:rsidRDefault="003B1B51" w:rsidP="003B1B51">
            <w:pPr>
              <w:jc w:val="right"/>
              <w:rPr>
                <w:rFonts w:ascii="Arial Narrow" w:hAnsi="Arial Narrow"/>
                <w:sz w:val="20"/>
                <w:szCs w:val="20"/>
                <w:lang w:val="en-GB"/>
              </w:rPr>
            </w:pPr>
            <w:r>
              <w:rPr>
                <w:rFonts w:ascii="Arial Narrow" w:hAnsi="Arial Narrow"/>
                <w:sz w:val="20"/>
                <w:szCs w:val="20"/>
                <w:lang w:val="en-GB"/>
              </w:rPr>
              <w:t>40</w:t>
            </w:r>
          </w:p>
        </w:tc>
      </w:tr>
    </w:tbl>
    <w:p w14:paraId="53EFEEE5"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19904BBA"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36ACADB2"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 Prerequisites </w:t>
            </w:r>
            <w:r w:rsidRPr="00FF5684">
              <w:rPr>
                <w:rFonts w:ascii="Arial Narrow" w:hAnsi="Arial Narrow"/>
                <w:sz w:val="20"/>
                <w:szCs w:val="20"/>
                <w:lang w:val="en-GB"/>
              </w:rPr>
              <w:t>(if applicable)</w:t>
            </w:r>
          </w:p>
        </w:tc>
      </w:tr>
      <w:tr w:rsidR="00CA59D7" w:rsidRPr="00FF5684" w14:paraId="7D3C2B96"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FB5CBAD"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4.1 </w:t>
            </w:r>
            <w:r w:rsidRPr="00FF5684">
              <w:rPr>
                <w:rFonts w:ascii="Arial Narrow" w:hAnsi="Arial Narrow"/>
                <w:sz w:val="20"/>
                <w:szCs w:val="20"/>
                <w:lang w:val="en-GB"/>
              </w:rPr>
              <w:t>Referring to curriculum</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53930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7526E2EF"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861149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4.2 </w:t>
            </w:r>
            <w:r w:rsidRPr="00FF5684">
              <w:rPr>
                <w:rFonts w:ascii="Arial Narrow" w:hAnsi="Arial Narrow"/>
                <w:sz w:val="20"/>
                <w:szCs w:val="20"/>
                <w:lang w:val="en-GB"/>
              </w:rPr>
              <w:t>Referring to competences</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F601C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FDCE82D"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794"/>
        <w:gridCol w:w="6095"/>
      </w:tblGrid>
      <w:tr w:rsidR="00CA59D7" w:rsidRPr="00FF5684" w14:paraId="62956878"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08C4023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 Conditions </w:t>
            </w:r>
            <w:r w:rsidRPr="00FF5684">
              <w:rPr>
                <w:rFonts w:ascii="Arial Narrow" w:hAnsi="Arial Narrow"/>
                <w:sz w:val="20"/>
                <w:szCs w:val="20"/>
                <w:lang w:val="en-GB"/>
              </w:rPr>
              <w:t>(if applicable)</w:t>
            </w:r>
          </w:p>
        </w:tc>
      </w:tr>
      <w:tr w:rsidR="00CA59D7" w:rsidRPr="00FF5684" w14:paraId="79FBE79C"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8D5ACC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5.1 </w:t>
            </w:r>
            <w:r w:rsidRPr="00FF5684">
              <w:rPr>
                <w:rFonts w:ascii="Arial Narrow" w:hAnsi="Arial Narrow"/>
                <w:sz w:val="20"/>
                <w:szCs w:val="20"/>
                <w:lang w:val="en-GB"/>
              </w:rPr>
              <w:t>For the course</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852C27C"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r w:rsidR="00CA59D7" w:rsidRPr="00FF5684" w14:paraId="6514AC75" w14:textId="77777777">
        <w:trPr>
          <w:trHeight w:val="223"/>
        </w:trPr>
        <w:tc>
          <w:tcPr>
            <w:tcW w:w="3794" w:type="dxa"/>
            <w:tcBorders>
              <w:top w:val="single" w:sz="4" w:space="0" w:color="000000"/>
              <w:left w:val="single" w:sz="4" w:space="0" w:color="000000"/>
              <w:bottom w:val="single" w:sz="4" w:space="0" w:color="000000"/>
              <w:right w:val="single" w:sz="4" w:space="0" w:color="000000"/>
            </w:tcBorders>
            <w:shd w:val="clear" w:color="auto" w:fill="auto"/>
            <w:tcMar>
              <w:top w:w="80" w:type="dxa"/>
              <w:left w:w="472" w:type="dxa"/>
              <w:bottom w:w="80" w:type="dxa"/>
              <w:right w:w="80" w:type="dxa"/>
            </w:tcMar>
            <w:vAlign w:val="center"/>
          </w:tcPr>
          <w:p w14:paraId="4FF14056" w14:textId="77777777" w:rsidR="00CA59D7" w:rsidRPr="00FF5684" w:rsidRDefault="00C03B6F">
            <w:pPr>
              <w:ind w:left="392" w:hanging="335"/>
              <w:rPr>
                <w:rFonts w:ascii="Arial Narrow" w:hAnsi="Arial Narrow"/>
                <w:sz w:val="20"/>
                <w:szCs w:val="20"/>
                <w:lang w:val="en-GB"/>
              </w:rPr>
            </w:pPr>
            <w:r w:rsidRPr="00FF5684">
              <w:rPr>
                <w:rFonts w:ascii="Arial Narrow" w:hAnsi="Arial Narrow"/>
                <w:b/>
                <w:bCs/>
                <w:sz w:val="20"/>
                <w:szCs w:val="20"/>
                <w:lang w:val="en-GB"/>
              </w:rPr>
              <w:t xml:space="preserve">5.2 </w:t>
            </w:r>
            <w:r w:rsidRPr="00FF5684">
              <w:rPr>
                <w:rFonts w:ascii="Arial Narrow" w:hAnsi="Arial Narrow"/>
                <w:sz w:val="20"/>
                <w:szCs w:val="20"/>
                <w:lang w:val="en-GB"/>
              </w:rPr>
              <w:t>For the seminar / laboratory</w:t>
            </w:r>
          </w:p>
        </w:tc>
        <w:tc>
          <w:tcPr>
            <w:tcW w:w="609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53DF60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Not necessary</w:t>
            </w:r>
          </w:p>
        </w:tc>
      </w:tr>
    </w:tbl>
    <w:p w14:paraId="6C6521F3" w14:textId="0DE1DE5E" w:rsidR="00CA59D7" w:rsidRPr="00FF5684" w:rsidRDefault="00CA59D7">
      <w:pPr>
        <w:rPr>
          <w:rFonts w:ascii="Arial Narrow" w:hAnsi="Arial Narrow"/>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31541C51"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tcPr>
          <w:p w14:paraId="7ED44B2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6. Specific competences accumulated</w:t>
            </w:r>
          </w:p>
        </w:tc>
      </w:tr>
      <w:tr w:rsidR="00CA59D7" w:rsidRPr="00FF5684" w14:paraId="7F61EB84" w14:textId="77777777" w:rsidTr="000D5B1F">
        <w:trPr>
          <w:trHeight w:val="198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02CF20BA"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lastRenderedPageBreak/>
              <w:t>Professional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C7AA97" w14:textId="09238954" w:rsidR="00FD33ED" w:rsidRPr="00FF5684" w:rsidRDefault="00C03B6F">
            <w:pPr>
              <w:jc w:val="both"/>
              <w:rPr>
                <w:rFonts w:ascii="Arial Narrow" w:hAnsi="Arial Narrow"/>
                <w:sz w:val="20"/>
                <w:szCs w:val="20"/>
                <w:lang w:val="en-GB"/>
              </w:rPr>
            </w:pPr>
            <w:r w:rsidRPr="00FF5684">
              <w:rPr>
                <w:rFonts w:ascii="Arial Narrow" w:hAnsi="Arial Narrow"/>
                <w:sz w:val="20"/>
                <w:szCs w:val="20"/>
                <w:lang w:val="en-GB"/>
              </w:rPr>
              <w:t xml:space="preserve">C1:  </w:t>
            </w:r>
            <w:r w:rsidR="00FD33ED" w:rsidRPr="00FF5684">
              <w:rPr>
                <w:rFonts w:ascii="Arial Narrow" w:hAnsi="Arial Narrow"/>
                <w:sz w:val="20"/>
                <w:szCs w:val="20"/>
                <w:lang w:val="en-GB"/>
              </w:rPr>
              <w:t xml:space="preserve">The course will enforce students with the knowledge about the era of on-demand work in smart cities, about the employment crises and the challenges among youth in different EU countries. </w:t>
            </w:r>
          </w:p>
          <w:p w14:paraId="28437526" w14:textId="0DBCD399" w:rsidR="00FD33ED" w:rsidRPr="00FF5684" w:rsidRDefault="00FD33ED" w:rsidP="00FD33ED">
            <w:pPr>
              <w:jc w:val="both"/>
              <w:rPr>
                <w:rFonts w:ascii="Arial Narrow" w:hAnsi="Arial Narrow"/>
                <w:sz w:val="20"/>
                <w:szCs w:val="20"/>
                <w:lang w:val="en-GB"/>
              </w:rPr>
            </w:pPr>
            <w:r w:rsidRPr="00FF5684">
              <w:rPr>
                <w:rFonts w:ascii="Arial Narrow" w:hAnsi="Arial Narrow"/>
                <w:sz w:val="20"/>
                <w:szCs w:val="20"/>
                <w:lang w:val="en-GB"/>
              </w:rPr>
              <w:t>C2: The students will learn about the importance of information technologies and the IT skills necessary for increasing youth employability in EU countries.</w:t>
            </w:r>
          </w:p>
          <w:p w14:paraId="778689D0" w14:textId="298E91BD" w:rsidR="00CA59D7" w:rsidRPr="00FF5684" w:rsidRDefault="00FD33ED">
            <w:pPr>
              <w:jc w:val="both"/>
              <w:rPr>
                <w:rFonts w:ascii="Arial Narrow" w:hAnsi="Arial Narrow"/>
                <w:sz w:val="20"/>
                <w:szCs w:val="20"/>
                <w:lang w:val="en-GB"/>
              </w:rPr>
            </w:pPr>
            <w:r w:rsidRPr="00FF5684">
              <w:rPr>
                <w:rFonts w:ascii="Arial Narrow" w:hAnsi="Arial Narrow"/>
                <w:sz w:val="20"/>
                <w:szCs w:val="20"/>
                <w:lang w:val="en-GB"/>
              </w:rPr>
              <w:t xml:space="preserve"> </w:t>
            </w:r>
            <w:r w:rsidR="00C03B6F" w:rsidRPr="00FF5684">
              <w:rPr>
                <w:rFonts w:ascii="Arial Narrow" w:hAnsi="Arial Narrow"/>
                <w:sz w:val="20"/>
                <w:szCs w:val="20"/>
                <w:lang w:val="en-GB"/>
              </w:rPr>
              <w:t>C</w:t>
            </w:r>
            <w:r w:rsidRPr="00FF5684">
              <w:rPr>
                <w:rFonts w:ascii="Arial Narrow" w:hAnsi="Arial Narrow"/>
                <w:sz w:val="20"/>
                <w:szCs w:val="20"/>
                <w:lang w:val="en-GB"/>
              </w:rPr>
              <w:t>3</w:t>
            </w:r>
            <w:r w:rsidR="00C03B6F" w:rsidRPr="00FF5684">
              <w:rPr>
                <w:rFonts w:ascii="Arial Narrow" w:hAnsi="Arial Narrow"/>
                <w:sz w:val="20"/>
                <w:szCs w:val="20"/>
                <w:lang w:val="en-GB"/>
              </w:rPr>
              <w:t xml:space="preserve">:  </w:t>
            </w:r>
            <w:r w:rsidRPr="00FF5684">
              <w:rPr>
                <w:rFonts w:ascii="Arial Narrow" w:hAnsi="Arial Narrow"/>
                <w:sz w:val="20"/>
                <w:szCs w:val="20"/>
                <w:lang w:val="en-GB"/>
              </w:rPr>
              <w:t>The students will debate on European Best Practice in shaping and enforcing labo</w:t>
            </w:r>
            <w:r w:rsidR="00FF5684">
              <w:rPr>
                <w:rFonts w:ascii="Arial Narrow" w:hAnsi="Arial Narrow"/>
                <w:sz w:val="20"/>
                <w:szCs w:val="20"/>
                <w:lang w:val="en-GB"/>
              </w:rPr>
              <w:t>u</w:t>
            </w:r>
            <w:r w:rsidRPr="00FF5684">
              <w:rPr>
                <w:rFonts w:ascii="Arial Narrow" w:hAnsi="Arial Narrow"/>
                <w:sz w:val="20"/>
                <w:szCs w:val="20"/>
                <w:lang w:val="en-GB"/>
              </w:rPr>
              <w:t>r conditions.</w:t>
            </w:r>
          </w:p>
        </w:tc>
      </w:tr>
      <w:tr w:rsidR="00CA59D7" w:rsidRPr="00FF5684" w14:paraId="034090FB" w14:textId="77777777" w:rsidTr="000D5B1F">
        <w:trPr>
          <w:trHeight w:val="198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6A952A00"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Transversal competencies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79365C" w14:textId="5D79B7DB" w:rsidR="00CA59D7" w:rsidRPr="00FF5684" w:rsidRDefault="0068517A">
            <w:pPr>
              <w:rPr>
                <w:rFonts w:ascii="Arial Narrow" w:eastAsia="Arial" w:hAnsi="Arial Narrow" w:cs="Arial"/>
                <w:sz w:val="20"/>
                <w:szCs w:val="20"/>
                <w:lang w:val="en-GB"/>
              </w:rPr>
            </w:pPr>
            <w:r w:rsidRPr="00FF5684">
              <w:rPr>
                <w:rFonts w:ascii="Arial Narrow" w:hAnsi="Arial Narrow"/>
                <w:sz w:val="20"/>
                <w:szCs w:val="20"/>
                <w:lang w:val="en-GB"/>
              </w:rPr>
              <w:t>CT 1: Self-training</w:t>
            </w:r>
            <w:r w:rsidR="00C03B6F" w:rsidRPr="00FF5684">
              <w:rPr>
                <w:rFonts w:ascii="Arial Narrow" w:hAnsi="Arial Narrow"/>
                <w:sz w:val="20"/>
                <w:szCs w:val="20"/>
                <w:lang w:val="en-GB"/>
              </w:rPr>
              <w:t xml:space="preserve"> need and identifying the resources and means for personal and professional training development in order of insertion and adaptation to labo</w:t>
            </w:r>
            <w:r w:rsidR="00FF5684">
              <w:rPr>
                <w:rFonts w:ascii="Arial Narrow" w:hAnsi="Arial Narrow"/>
                <w:sz w:val="20"/>
                <w:szCs w:val="20"/>
                <w:lang w:val="en-GB"/>
              </w:rPr>
              <w:t>u</w:t>
            </w:r>
            <w:r w:rsidR="00C03B6F" w:rsidRPr="00FF5684">
              <w:rPr>
                <w:rFonts w:ascii="Arial Narrow" w:hAnsi="Arial Narrow"/>
                <w:sz w:val="20"/>
                <w:szCs w:val="20"/>
                <w:lang w:val="en-GB"/>
              </w:rPr>
              <w:t>r market requirements.</w:t>
            </w:r>
          </w:p>
          <w:p w14:paraId="00276B00" w14:textId="0D141978" w:rsidR="00CA59D7" w:rsidRPr="00FF5684" w:rsidRDefault="00C03B6F">
            <w:pPr>
              <w:rPr>
                <w:rFonts w:ascii="Arial Narrow" w:hAnsi="Arial Narrow"/>
                <w:sz w:val="20"/>
                <w:szCs w:val="20"/>
                <w:lang w:val="en-GB"/>
              </w:rPr>
            </w:pPr>
            <w:r w:rsidRPr="00FF5684">
              <w:rPr>
                <w:rFonts w:ascii="Arial Narrow" w:hAnsi="Arial Narrow"/>
                <w:sz w:val="20"/>
                <w:szCs w:val="20"/>
                <w:lang w:val="en-GB"/>
              </w:rPr>
              <w:t xml:space="preserve">CT 2:  </w:t>
            </w:r>
            <w:r w:rsidR="00FF5684" w:rsidRPr="00FF5684">
              <w:rPr>
                <w:rFonts w:ascii="Arial Narrow" w:hAnsi="Arial Narrow"/>
                <w:sz w:val="20"/>
                <w:szCs w:val="20"/>
                <w:lang w:val="en-GB"/>
              </w:rPr>
              <w:t>Fulfilment</w:t>
            </w:r>
            <w:r w:rsidRPr="00FF5684">
              <w:rPr>
                <w:rFonts w:ascii="Arial Narrow" w:hAnsi="Arial Narrow"/>
                <w:sz w:val="20"/>
                <w:szCs w:val="20"/>
                <w:lang w:val="en-GB"/>
              </w:rPr>
              <w:t xml:space="preserve"> term, rigorous, efficient and accountable professional tasks with ethical principles and professional ethics.</w:t>
            </w:r>
          </w:p>
        </w:tc>
      </w:tr>
    </w:tbl>
    <w:p w14:paraId="79FC0F26" w14:textId="77777777" w:rsidR="000D5B1F" w:rsidRPr="00FF5684" w:rsidRDefault="000D5B1F">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6"/>
        <w:gridCol w:w="7733"/>
      </w:tblGrid>
      <w:tr w:rsidR="00CA59D7" w:rsidRPr="00FF5684" w14:paraId="0B9E9816" w14:textId="77777777">
        <w:trPr>
          <w:trHeight w:val="228"/>
        </w:trPr>
        <w:tc>
          <w:tcPr>
            <w:tcW w:w="9889" w:type="dxa"/>
            <w:gridSpan w:val="2"/>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1D3169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7. Course objectives </w:t>
            </w:r>
            <w:r w:rsidRPr="00FF5684">
              <w:rPr>
                <w:rFonts w:ascii="Arial Narrow" w:hAnsi="Arial Narrow"/>
                <w:sz w:val="20"/>
                <w:szCs w:val="20"/>
                <w:lang w:val="en-GB"/>
              </w:rPr>
              <w:t>(based on specific competencies accumulated)</w:t>
            </w:r>
          </w:p>
        </w:tc>
      </w:tr>
      <w:tr w:rsidR="00CA59D7" w:rsidRPr="00FF5684" w14:paraId="037D23BC" w14:textId="77777777" w:rsidTr="000D5B1F">
        <w:trPr>
          <w:trHeight w:val="154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5E3D3871"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7.1 General objective</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DAB2695" w14:textId="77777777" w:rsidR="00CA59D7" w:rsidRPr="00FF5684" w:rsidRDefault="00CA59D7">
            <w:pPr>
              <w:widowControl w:val="0"/>
              <w:jc w:val="both"/>
              <w:rPr>
                <w:rFonts w:ascii="Arial Narrow" w:eastAsia="Arial" w:hAnsi="Arial Narrow" w:cs="Arial"/>
                <w:sz w:val="20"/>
                <w:szCs w:val="20"/>
                <w:lang w:val="en-GB"/>
              </w:rPr>
            </w:pPr>
          </w:p>
          <w:p w14:paraId="59F412AC" w14:textId="4737A385" w:rsidR="00CA59D7" w:rsidRPr="00FF5684" w:rsidRDefault="00C03B6F" w:rsidP="007449B0">
            <w:pPr>
              <w:widowControl w:val="0"/>
              <w:jc w:val="both"/>
              <w:rPr>
                <w:rFonts w:ascii="Arial Narrow" w:hAnsi="Arial Narrow"/>
                <w:sz w:val="20"/>
                <w:szCs w:val="20"/>
                <w:lang w:val="en-GB"/>
              </w:rPr>
            </w:pPr>
            <w:r w:rsidRPr="00FF5684">
              <w:rPr>
                <w:rFonts w:ascii="Arial Narrow" w:hAnsi="Arial Narrow"/>
                <w:sz w:val="20"/>
                <w:szCs w:val="20"/>
                <w:lang w:val="en-GB"/>
              </w:rPr>
              <w:t xml:space="preserve">The students </w:t>
            </w:r>
            <w:r w:rsidR="00FD33ED" w:rsidRPr="00FF5684">
              <w:rPr>
                <w:rFonts w:ascii="Arial Narrow" w:hAnsi="Arial Narrow"/>
                <w:sz w:val="20"/>
                <w:szCs w:val="20"/>
                <w:lang w:val="en-GB"/>
              </w:rPr>
              <w:t xml:space="preserve">will </w:t>
            </w:r>
            <w:r w:rsidRPr="00FF5684">
              <w:rPr>
                <w:rFonts w:ascii="Arial Narrow" w:hAnsi="Arial Narrow"/>
                <w:sz w:val="20"/>
                <w:szCs w:val="20"/>
                <w:lang w:val="en-GB"/>
              </w:rPr>
              <w:t xml:space="preserve">have a solid knowledge </w:t>
            </w:r>
            <w:r w:rsidR="00FD33ED" w:rsidRPr="00FF5684">
              <w:rPr>
                <w:rFonts w:ascii="Arial Narrow" w:hAnsi="Arial Narrow"/>
                <w:sz w:val="20"/>
                <w:szCs w:val="20"/>
                <w:lang w:val="en-GB"/>
              </w:rPr>
              <w:t>about the labo</w:t>
            </w:r>
            <w:r w:rsidR="00FF5684">
              <w:rPr>
                <w:rFonts w:ascii="Arial Narrow" w:hAnsi="Arial Narrow"/>
                <w:sz w:val="20"/>
                <w:szCs w:val="20"/>
                <w:lang w:val="en-GB"/>
              </w:rPr>
              <w:t>u</w:t>
            </w:r>
            <w:r w:rsidR="00FD33ED" w:rsidRPr="00FF5684">
              <w:rPr>
                <w:rFonts w:ascii="Arial Narrow" w:hAnsi="Arial Narrow"/>
                <w:sz w:val="20"/>
                <w:szCs w:val="20"/>
                <w:lang w:val="en-GB"/>
              </w:rPr>
              <w:t>r relations</w:t>
            </w:r>
            <w:r w:rsidR="007449B0" w:rsidRPr="00FF5684">
              <w:rPr>
                <w:rFonts w:ascii="Arial Narrow" w:hAnsi="Arial Narrow"/>
                <w:sz w:val="20"/>
                <w:szCs w:val="20"/>
                <w:lang w:val="en-GB"/>
              </w:rPr>
              <w:t xml:space="preserve"> </w:t>
            </w:r>
            <w:r w:rsidR="00FD33ED" w:rsidRPr="00FF5684">
              <w:rPr>
                <w:rFonts w:ascii="Arial Narrow" w:hAnsi="Arial Narrow"/>
                <w:sz w:val="20"/>
                <w:szCs w:val="20"/>
                <w:lang w:val="en-GB"/>
              </w:rPr>
              <w:t xml:space="preserve">in the </w:t>
            </w:r>
            <w:r w:rsidR="007449B0" w:rsidRPr="00FF5684">
              <w:rPr>
                <w:rFonts w:ascii="Arial Narrow" w:hAnsi="Arial Narrow"/>
                <w:sz w:val="20"/>
                <w:szCs w:val="20"/>
                <w:lang w:val="en-GB"/>
              </w:rPr>
              <w:t xml:space="preserve">EU and </w:t>
            </w:r>
            <w:r w:rsidR="00FD33ED" w:rsidRPr="00FF5684">
              <w:rPr>
                <w:rFonts w:ascii="Arial Narrow" w:hAnsi="Arial Narrow"/>
                <w:sz w:val="20"/>
                <w:szCs w:val="20"/>
                <w:lang w:val="en-GB"/>
              </w:rPr>
              <w:t>about the importance of IT skills for responding to the concept of Smart Cities</w:t>
            </w:r>
            <w:r w:rsidRPr="00FF5684">
              <w:rPr>
                <w:rFonts w:ascii="Arial Narrow" w:hAnsi="Arial Narrow"/>
                <w:sz w:val="20"/>
                <w:szCs w:val="20"/>
                <w:lang w:val="en-GB"/>
              </w:rPr>
              <w:t xml:space="preserve">. They are able to work within the inter-European framework and the different national systems of industrial relations and </w:t>
            </w:r>
            <w:r w:rsidR="007449B0" w:rsidRPr="00FF5684">
              <w:rPr>
                <w:rFonts w:ascii="Arial Narrow" w:hAnsi="Arial Narrow"/>
                <w:sz w:val="20"/>
                <w:szCs w:val="20"/>
                <w:lang w:val="en-GB"/>
              </w:rPr>
              <w:t>labo</w:t>
            </w:r>
            <w:r w:rsidR="00FF5684">
              <w:rPr>
                <w:rFonts w:ascii="Arial Narrow" w:hAnsi="Arial Narrow"/>
                <w:sz w:val="20"/>
                <w:szCs w:val="20"/>
                <w:lang w:val="en-GB"/>
              </w:rPr>
              <w:t>u</w:t>
            </w:r>
            <w:r w:rsidR="007449B0" w:rsidRPr="00FF5684">
              <w:rPr>
                <w:rFonts w:ascii="Arial Narrow" w:hAnsi="Arial Narrow"/>
                <w:sz w:val="20"/>
                <w:szCs w:val="20"/>
                <w:lang w:val="en-GB"/>
              </w:rPr>
              <w:t>r</w:t>
            </w:r>
            <w:r w:rsidRPr="00FF5684">
              <w:rPr>
                <w:rFonts w:ascii="Arial Narrow" w:hAnsi="Arial Narrow"/>
                <w:sz w:val="20"/>
                <w:szCs w:val="20"/>
                <w:lang w:val="en-GB"/>
              </w:rPr>
              <w:t xml:space="preserve"> law. </w:t>
            </w:r>
          </w:p>
        </w:tc>
      </w:tr>
      <w:tr w:rsidR="00CA59D7" w:rsidRPr="00FF5684" w14:paraId="7101A959" w14:textId="77777777" w:rsidTr="000D5B1F">
        <w:trPr>
          <w:trHeight w:val="1543"/>
        </w:trPr>
        <w:tc>
          <w:tcPr>
            <w:tcW w:w="215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193" w:type="dxa"/>
            </w:tcMar>
            <w:vAlign w:val="center"/>
          </w:tcPr>
          <w:p w14:paraId="72D08F34" w14:textId="77777777" w:rsidR="00CA59D7" w:rsidRPr="00FF5684" w:rsidRDefault="00C03B6F">
            <w:pPr>
              <w:ind w:left="57" w:right="113"/>
              <w:jc w:val="center"/>
              <w:rPr>
                <w:rFonts w:ascii="Arial Narrow" w:hAnsi="Arial Narrow"/>
                <w:sz w:val="20"/>
                <w:szCs w:val="20"/>
                <w:lang w:val="en-GB"/>
              </w:rPr>
            </w:pPr>
            <w:r w:rsidRPr="00FF5684">
              <w:rPr>
                <w:rFonts w:ascii="Arial Narrow" w:hAnsi="Arial Narrow"/>
                <w:b/>
                <w:bCs/>
                <w:sz w:val="20"/>
                <w:szCs w:val="20"/>
                <w:lang w:val="en-GB"/>
              </w:rPr>
              <w:t>7.2 Specific objectives</w:t>
            </w:r>
          </w:p>
        </w:tc>
        <w:tc>
          <w:tcPr>
            <w:tcW w:w="77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12A8AA" w14:textId="77777777" w:rsidR="00CA59D7" w:rsidRPr="00FF5684" w:rsidRDefault="00C03B6F">
            <w:pPr>
              <w:pStyle w:val="ColorfulList-Accent11"/>
              <w:ind w:left="0"/>
              <w:rPr>
                <w:rFonts w:ascii="Arial Narrow" w:hAnsi="Arial Narrow"/>
                <w:sz w:val="20"/>
                <w:szCs w:val="20"/>
                <w:lang w:val="en-GB"/>
              </w:rPr>
            </w:pPr>
            <w:r w:rsidRPr="00FF5684">
              <w:rPr>
                <w:rFonts w:ascii="Arial Narrow" w:hAnsi="Arial Narrow"/>
                <w:sz w:val="20"/>
                <w:szCs w:val="20"/>
                <w:lang w:val="en-GB"/>
              </w:rPr>
              <w:t>After successfully finalizing this course, students will be able to:</w:t>
            </w:r>
          </w:p>
          <w:p w14:paraId="05793DA1" w14:textId="77777777" w:rsidR="00AC0FBC" w:rsidRPr="00FF5684" w:rsidRDefault="00AC0FBC" w:rsidP="00AC0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Hyperlink"/>
                <w:rFonts w:ascii="Arial Narrow" w:hAnsi="Arial Narrow" w:cs="Tahoma"/>
                <w:color w:val="auto"/>
                <w:sz w:val="20"/>
                <w:szCs w:val="20"/>
                <w:lang w:val="en-GB"/>
              </w:rPr>
            </w:pPr>
            <w:r w:rsidRPr="00FF5684">
              <w:rPr>
                <w:rFonts w:ascii="Arial Narrow" w:hAnsi="Arial Narrow" w:cs="Tahoma"/>
                <w:sz w:val="20"/>
                <w:szCs w:val="20"/>
                <w:lang w:val="en-GB"/>
              </w:rPr>
              <w:t xml:space="preserve">Describe the current practices and future trends regarding </w:t>
            </w:r>
            <w:hyperlink r:id="rId7" w:anchor="tocto1n2" w:history="1">
              <w:r w:rsidRPr="00FF5684">
                <w:rPr>
                  <w:rStyle w:val="Hyperlink"/>
                  <w:rFonts w:ascii="Arial Narrow" w:hAnsi="Arial Narrow" w:cs="Tahoma"/>
                  <w:color w:val="auto"/>
                  <w:sz w:val="20"/>
                  <w:szCs w:val="20"/>
                  <w:u w:val="none"/>
                  <w:lang w:val="en-GB"/>
                </w:rPr>
                <w:t>on-demand work in smart cities</w:t>
              </w:r>
            </w:hyperlink>
            <w:r w:rsidRPr="00FF5684">
              <w:rPr>
                <w:rStyle w:val="Hyperlink"/>
                <w:rFonts w:ascii="Arial Narrow" w:hAnsi="Arial Narrow" w:cs="Tahoma"/>
                <w:color w:val="auto"/>
                <w:sz w:val="20"/>
                <w:szCs w:val="20"/>
                <w:u w:val="none"/>
                <w:lang w:val="en-GB"/>
              </w:rPr>
              <w:t>;</w:t>
            </w:r>
          </w:p>
          <w:p w14:paraId="173DF2C7" w14:textId="77777777" w:rsidR="00AC0FBC" w:rsidRPr="00FF5684" w:rsidRDefault="00AC0FBC" w:rsidP="00AC0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Tahoma"/>
                <w:sz w:val="20"/>
                <w:szCs w:val="20"/>
                <w:lang w:val="en-GB"/>
              </w:rPr>
            </w:pPr>
            <w:r w:rsidRPr="00FF5684">
              <w:rPr>
                <w:rFonts w:ascii="Arial Narrow" w:hAnsi="Arial Narrow" w:cs="Tahoma"/>
                <w:sz w:val="20"/>
                <w:szCs w:val="20"/>
                <w:lang w:val="en-GB"/>
              </w:rPr>
              <w:t>Gain a deep understanding of the forms of employment that are new or have become increasingly important in Europe since the year 2000;</w:t>
            </w:r>
          </w:p>
          <w:p w14:paraId="3E9772FE" w14:textId="77777777" w:rsidR="00AC0FBC" w:rsidRPr="00FF5684" w:rsidRDefault="00AC0FBC" w:rsidP="00AC0FBC">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jc w:val="both"/>
              <w:rPr>
                <w:rStyle w:val="st"/>
                <w:rFonts w:ascii="Arial Narrow" w:hAnsi="Arial Narrow" w:cs="Tahoma"/>
                <w:sz w:val="20"/>
                <w:szCs w:val="20"/>
                <w:lang w:val="en-GB"/>
              </w:rPr>
            </w:pPr>
            <w:r w:rsidRPr="00FF5684">
              <w:rPr>
                <w:rFonts w:ascii="Arial Narrow" w:hAnsi="Arial Narrow" w:cs="Tahoma"/>
                <w:sz w:val="20"/>
                <w:szCs w:val="20"/>
                <w:lang w:val="en-GB"/>
              </w:rPr>
              <w:t xml:space="preserve"> Understand the </w:t>
            </w:r>
            <w:r w:rsidRPr="00FF5684">
              <w:rPr>
                <w:rStyle w:val="st"/>
                <w:rFonts w:ascii="Arial Narrow" w:hAnsi="Arial Narrow" w:cs="Tahoma"/>
                <w:sz w:val="20"/>
                <w:szCs w:val="20"/>
                <w:lang w:val="en-GB"/>
              </w:rPr>
              <w:t xml:space="preserve">influence of information and communication technologies (ICTs) skills on </w:t>
            </w:r>
            <w:r w:rsidRPr="00FF5684">
              <w:rPr>
                <w:rStyle w:val="Emphasis"/>
                <w:rFonts w:ascii="Arial Narrow" w:hAnsi="Arial Narrow" w:cs="Tahoma"/>
                <w:sz w:val="20"/>
                <w:szCs w:val="20"/>
                <w:lang w:val="en-GB"/>
              </w:rPr>
              <w:t>youth employability</w:t>
            </w:r>
            <w:r w:rsidRPr="00FF5684">
              <w:rPr>
                <w:rStyle w:val="st"/>
                <w:rFonts w:ascii="Arial Narrow" w:hAnsi="Arial Narrow" w:cs="Tahoma"/>
                <w:sz w:val="20"/>
                <w:szCs w:val="20"/>
                <w:lang w:val="en-GB"/>
              </w:rPr>
              <w:t>;</w:t>
            </w:r>
          </w:p>
          <w:p w14:paraId="0AB8DCF7" w14:textId="3C88F783" w:rsidR="00CA59D7" w:rsidRPr="00FF5684" w:rsidRDefault="00AC0FBC" w:rsidP="00AC0FBC">
            <w:pPr>
              <w:widowControl w:val="0"/>
              <w:numPr>
                <w:ilvl w:val="0"/>
                <w:numId w:val="2"/>
              </w:numPr>
              <w:jc w:val="both"/>
              <w:rPr>
                <w:rFonts w:ascii="Arial Narrow" w:hAnsi="Arial Narrow"/>
                <w:sz w:val="20"/>
                <w:szCs w:val="20"/>
                <w:lang w:val="en-GB"/>
              </w:rPr>
            </w:pPr>
            <w:r w:rsidRPr="00FF5684">
              <w:rPr>
                <w:rFonts w:ascii="Arial Narrow" w:hAnsi="Arial Narrow" w:cs="Tahoma"/>
                <w:sz w:val="20"/>
                <w:szCs w:val="20"/>
                <w:shd w:val="clear" w:color="auto" w:fill="FFFFFF"/>
                <w:lang w:val="en-GB"/>
              </w:rPr>
              <w:t>Achieve knowledge in the field of labo</w:t>
            </w:r>
            <w:r w:rsidR="00FF5684">
              <w:rPr>
                <w:rFonts w:ascii="Arial Narrow" w:hAnsi="Arial Narrow" w:cs="Tahoma"/>
                <w:sz w:val="20"/>
                <w:szCs w:val="20"/>
                <w:shd w:val="clear" w:color="auto" w:fill="FFFFFF"/>
                <w:lang w:val="en-GB"/>
              </w:rPr>
              <w:t>u</w:t>
            </w:r>
            <w:r w:rsidRPr="00FF5684">
              <w:rPr>
                <w:rFonts w:ascii="Arial Narrow" w:hAnsi="Arial Narrow" w:cs="Tahoma"/>
                <w:sz w:val="20"/>
                <w:szCs w:val="20"/>
                <w:shd w:val="clear" w:color="auto" w:fill="FFFFFF"/>
                <w:lang w:val="en-GB"/>
              </w:rPr>
              <w:t>r relations, in order to understand the relationships between employers and employees based on European and national law, the process between management and the representative of the employees which take the decision at the workplace which include wages, benefits, working conditions, hours of work, job security, and safety.</w:t>
            </w:r>
          </w:p>
        </w:tc>
      </w:tr>
    </w:tbl>
    <w:p w14:paraId="67CAAF52" w14:textId="77777777" w:rsidR="00CA59D7" w:rsidRPr="00FF5684" w:rsidRDefault="00CA59D7">
      <w:pPr>
        <w:rPr>
          <w:rFonts w:ascii="Arial Narrow" w:eastAsia="Arial" w:hAnsi="Arial Narrow" w:cs="Arial"/>
          <w:sz w:val="20"/>
          <w:szCs w:val="20"/>
          <w:lang w:val="en-GB"/>
        </w:rPr>
      </w:pPr>
    </w:p>
    <w:tbl>
      <w:tblPr>
        <w:tblW w:w="98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5"/>
        <w:gridCol w:w="3828"/>
        <w:gridCol w:w="2976"/>
        <w:gridCol w:w="2410"/>
      </w:tblGrid>
      <w:tr w:rsidR="00CA59D7" w:rsidRPr="00FF5684" w14:paraId="61D78443" w14:textId="77777777">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65B4BD85"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 Content</w:t>
            </w:r>
          </w:p>
        </w:tc>
      </w:tr>
      <w:tr w:rsidR="00CA59D7" w:rsidRPr="00FF5684" w14:paraId="0946BC49" w14:textId="77777777">
        <w:trPr>
          <w:trHeight w:val="405"/>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F9DC3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8.1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38267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Course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CC59515"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Teaching methods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2F54F73" w14:textId="77777777" w:rsidR="00CA59D7" w:rsidRPr="00FF5684" w:rsidRDefault="00C03B6F">
            <w:pPr>
              <w:ind w:left="57"/>
              <w:jc w:val="center"/>
              <w:rPr>
                <w:rFonts w:ascii="Arial Narrow" w:eastAsia="Arial" w:hAnsi="Arial Narrow" w:cs="Arial"/>
                <w:b/>
                <w:bCs/>
                <w:sz w:val="20"/>
                <w:szCs w:val="20"/>
                <w:lang w:val="en-GB"/>
              </w:rPr>
            </w:pPr>
            <w:r w:rsidRPr="00FF5684">
              <w:rPr>
                <w:rFonts w:ascii="Arial Narrow" w:hAnsi="Arial Narrow"/>
                <w:b/>
                <w:bCs/>
                <w:sz w:val="20"/>
                <w:szCs w:val="20"/>
                <w:lang w:val="en-GB"/>
              </w:rPr>
              <w:t>Observations</w:t>
            </w:r>
          </w:p>
          <w:p w14:paraId="57F5BC54" w14:textId="5E1EEA1F"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(time)</w:t>
            </w:r>
          </w:p>
        </w:tc>
      </w:tr>
      <w:tr w:rsidR="00CA59D7" w:rsidRPr="00FF5684" w14:paraId="3E9EE658" w14:textId="77777777">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1E0DB"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3E6E82" w14:textId="378EBE92" w:rsidR="00CA59D7" w:rsidRPr="00FF5684" w:rsidRDefault="00A640EB">
            <w:pPr>
              <w:rPr>
                <w:rFonts w:ascii="Arial Narrow" w:hAnsi="Arial Narrow"/>
                <w:b/>
                <w:bCs/>
                <w:sz w:val="20"/>
                <w:szCs w:val="20"/>
                <w:lang w:val="en-GB"/>
              </w:rPr>
            </w:pPr>
            <w:r w:rsidRPr="00FF5684">
              <w:rPr>
                <w:rFonts w:ascii="Arial Narrow" w:hAnsi="Arial Narrow"/>
                <w:b/>
                <w:bCs/>
                <w:sz w:val="20"/>
                <w:szCs w:val="20"/>
                <w:lang w:val="en-GB"/>
              </w:rPr>
              <w:t>III.1 Employment and human capital. The era of on-demand work in smart cities</w:t>
            </w:r>
          </w:p>
          <w:p w14:paraId="218DD5AF" w14:textId="6D8C4064" w:rsidR="000B0FA6" w:rsidRPr="00FF5684" w:rsidRDefault="000B0FA6">
            <w:pPr>
              <w:rPr>
                <w:rFonts w:ascii="Arial Narrow" w:hAnsi="Arial Narrow"/>
                <w:sz w:val="20"/>
                <w:szCs w:val="20"/>
                <w:lang w:val="en-GB"/>
              </w:rPr>
            </w:pPr>
            <w:r w:rsidRPr="00FF5684">
              <w:rPr>
                <w:rFonts w:ascii="Arial Narrow" w:hAnsi="Arial Narrow"/>
                <w:sz w:val="20"/>
                <w:szCs w:val="20"/>
                <w:lang w:val="en-GB"/>
              </w:rPr>
              <w:t>III.1.</w:t>
            </w:r>
            <w:r w:rsidR="00452AF3" w:rsidRPr="00FF5684">
              <w:rPr>
                <w:rFonts w:ascii="Arial Narrow" w:hAnsi="Arial Narrow"/>
                <w:sz w:val="20"/>
                <w:szCs w:val="20"/>
                <w:lang w:val="en-GB"/>
              </w:rPr>
              <w:t>1</w:t>
            </w:r>
            <w:r w:rsidRPr="00FF5684">
              <w:rPr>
                <w:rFonts w:ascii="Arial Narrow" w:hAnsi="Arial Narrow"/>
                <w:sz w:val="20"/>
                <w:szCs w:val="20"/>
                <w:lang w:val="en-GB"/>
              </w:rPr>
              <w:t xml:space="preserve"> </w:t>
            </w:r>
            <w:r w:rsidR="00452AF3" w:rsidRPr="00FF5684">
              <w:rPr>
                <w:rFonts w:ascii="Arial Narrow" w:hAnsi="Arial Narrow"/>
                <w:sz w:val="20"/>
                <w:szCs w:val="20"/>
                <w:lang w:val="en-GB"/>
              </w:rPr>
              <w:t>European Institution and European Labo</w:t>
            </w:r>
            <w:r w:rsidR="00FF5684">
              <w:rPr>
                <w:rFonts w:ascii="Arial Narrow" w:hAnsi="Arial Narrow"/>
                <w:sz w:val="20"/>
                <w:szCs w:val="20"/>
                <w:lang w:val="en-GB"/>
              </w:rPr>
              <w:t>u</w:t>
            </w:r>
            <w:r w:rsidR="00452AF3" w:rsidRPr="00FF5684">
              <w:rPr>
                <w:rFonts w:ascii="Arial Narrow" w:hAnsi="Arial Narrow"/>
                <w:sz w:val="20"/>
                <w:szCs w:val="20"/>
                <w:lang w:val="en-GB"/>
              </w:rPr>
              <w:t>r Law</w:t>
            </w:r>
          </w:p>
          <w:p w14:paraId="0059795D" w14:textId="6F0F5978"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III.1.2</w:t>
            </w:r>
            <w:r w:rsidRPr="00FF5684">
              <w:rPr>
                <w:lang w:val="en-GB"/>
              </w:rPr>
              <w:t xml:space="preserve"> </w:t>
            </w:r>
            <w:r w:rsidRPr="00FF5684">
              <w:rPr>
                <w:rFonts w:ascii="Arial Narrow" w:hAnsi="Arial Narrow"/>
                <w:sz w:val="20"/>
                <w:szCs w:val="20"/>
                <w:lang w:val="en-GB"/>
              </w:rPr>
              <w:t>Free movement for workers and citizens within EU</w:t>
            </w:r>
          </w:p>
          <w:p w14:paraId="36A92708" w14:textId="78D8C8D2"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III.1.3 The EU Charter in the context of the social dimension of European integration</w:t>
            </w:r>
          </w:p>
          <w:p w14:paraId="481D6FEB" w14:textId="3B9AE096"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III.1.4 Non-discrimination and equal treatment between men and women (Articles 21 and 23)</w:t>
            </w:r>
          </w:p>
          <w:p w14:paraId="380C356F" w14:textId="437BA596" w:rsidR="00452AF3" w:rsidRPr="00FF5684" w:rsidRDefault="00452AF3">
            <w:pPr>
              <w:rPr>
                <w:rFonts w:ascii="Arial Narrow" w:hAnsi="Arial Narrow"/>
                <w:sz w:val="20"/>
                <w:szCs w:val="20"/>
                <w:lang w:val="en-GB"/>
              </w:rPr>
            </w:pPr>
            <w:r w:rsidRPr="00FF5684">
              <w:rPr>
                <w:rFonts w:ascii="Arial Narrow" w:hAnsi="Arial Narrow"/>
                <w:sz w:val="20"/>
                <w:szCs w:val="20"/>
                <w:lang w:val="en-GB"/>
              </w:rPr>
              <w:t>III.1.5 Learning cities and human capital</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76AB12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31BDA9F" w14:textId="2E40B852" w:rsidR="00CA59D7" w:rsidRPr="00FF5684" w:rsidRDefault="00351BA4" w:rsidP="00351BA4">
            <w:pPr>
              <w:ind w:left="57"/>
              <w:jc w:val="center"/>
              <w:rPr>
                <w:rFonts w:ascii="Arial Narrow" w:hAnsi="Arial Narrow"/>
                <w:sz w:val="20"/>
                <w:szCs w:val="20"/>
                <w:lang w:val="en-GB"/>
              </w:rPr>
            </w:pPr>
            <w:r w:rsidRPr="00FF5684">
              <w:rPr>
                <w:rFonts w:ascii="Arial Narrow" w:hAnsi="Arial Narrow"/>
                <w:sz w:val="20"/>
                <w:szCs w:val="20"/>
                <w:lang w:val="en-GB"/>
              </w:rPr>
              <w:t>1</w:t>
            </w:r>
            <w:r w:rsidR="00EE14B4" w:rsidRPr="00FF5684">
              <w:rPr>
                <w:rFonts w:ascii="Arial Narrow" w:hAnsi="Arial Narrow"/>
                <w:sz w:val="20"/>
                <w:szCs w:val="20"/>
                <w:lang w:val="en-GB"/>
              </w:rPr>
              <w:t>6</w:t>
            </w:r>
            <w:r w:rsidRPr="00FF5684">
              <w:rPr>
                <w:rFonts w:ascii="Arial Narrow" w:hAnsi="Arial Narrow"/>
                <w:sz w:val="20"/>
                <w:szCs w:val="20"/>
                <w:lang w:val="en-GB"/>
              </w:rPr>
              <w:t xml:space="preserve"> </w:t>
            </w:r>
            <w:r w:rsidR="00C03B6F" w:rsidRPr="00FF5684">
              <w:rPr>
                <w:rFonts w:ascii="Arial Narrow" w:hAnsi="Arial Narrow"/>
                <w:sz w:val="20"/>
                <w:szCs w:val="20"/>
                <w:lang w:val="en-GB"/>
              </w:rPr>
              <w:t>hours</w:t>
            </w:r>
          </w:p>
        </w:tc>
      </w:tr>
      <w:tr w:rsidR="008D32F7" w:rsidRPr="00FF5684" w14:paraId="4B2F0345" w14:textId="77777777">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463E7" w14:textId="659D4CEC"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lastRenderedPageBreak/>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7C55CF" w14:textId="630EBA68" w:rsidR="00A640EB" w:rsidRPr="00FF5684" w:rsidRDefault="00A640EB" w:rsidP="00A640EB">
            <w:pPr>
              <w:rPr>
                <w:rFonts w:ascii="Arial Narrow" w:hAnsi="Arial Narrow"/>
                <w:b/>
                <w:bCs/>
                <w:sz w:val="20"/>
                <w:szCs w:val="20"/>
                <w:lang w:val="en-GB"/>
              </w:rPr>
            </w:pPr>
            <w:r w:rsidRPr="00FF5684">
              <w:rPr>
                <w:rFonts w:ascii="Arial Narrow" w:hAnsi="Arial Narrow"/>
                <w:b/>
                <w:bCs/>
                <w:sz w:val="20"/>
                <w:szCs w:val="20"/>
                <w:lang w:val="en-GB"/>
              </w:rPr>
              <w:t>III.2 The employment crisis. Youth employability, in relation to the new challenges of smart cities</w:t>
            </w:r>
          </w:p>
          <w:p w14:paraId="78F4D6D0" w14:textId="76DA2FA5" w:rsidR="00A640EB" w:rsidRPr="00FF5684" w:rsidRDefault="00A640EB" w:rsidP="00A640EB">
            <w:pPr>
              <w:rPr>
                <w:rFonts w:ascii="Arial Narrow" w:hAnsi="Arial Narrow"/>
                <w:sz w:val="20"/>
                <w:szCs w:val="20"/>
                <w:lang w:val="en-GB"/>
              </w:rPr>
            </w:pPr>
            <w:r w:rsidRPr="00FF5684">
              <w:rPr>
                <w:rFonts w:ascii="Arial Narrow" w:hAnsi="Arial Narrow"/>
                <w:sz w:val="20"/>
                <w:szCs w:val="20"/>
                <w:lang w:val="en-GB"/>
              </w:rPr>
              <w:t xml:space="preserve">III.2.1 Main differences between the Eurozone and other countries </w:t>
            </w:r>
          </w:p>
          <w:p w14:paraId="25E99173" w14:textId="63E1EA10" w:rsidR="008D32F7" w:rsidRPr="00FF5684" w:rsidRDefault="00A640EB" w:rsidP="00A640EB">
            <w:pPr>
              <w:rPr>
                <w:rFonts w:ascii="Arial Narrow" w:hAnsi="Arial Narrow"/>
                <w:sz w:val="20"/>
                <w:szCs w:val="20"/>
                <w:lang w:val="en-GB"/>
              </w:rPr>
            </w:pPr>
            <w:r w:rsidRPr="00FF5684">
              <w:rPr>
                <w:rFonts w:ascii="Arial Narrow" w:hAnsi="Arial Narrow"/>
                <w:sz w:val="20"/>
                <w:szCs w:val="20"/>
                <w:lang w:val="en-GB"/>
              </w:rPr>
              <w:t>III.2.2 The importance of information technologies and the computer skills for increasing youth employability. Think smart, act smart!</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0C7DBE46" w14:textId="20E7E2ED"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EF94092" w14:textId="1380B4F0" w:rsidR="008D32F7" w:rsidRPr="00FF5684" w:rsidRDefault="00351BA4">
            <w:pPr>
              <w:ind w:left="57"/>
              <w:jc w:val="center"/>
              <w:rPr>
                <w:rFonts w:ascii="Arial Narrow" w:hAnsi="Arial Narrow"/>
                <w:sz w:val="20"/>
                <w:szCs w:val="20"/>
                <w:lang w:val="en-GB"/>
              </w:rPr>
            </w:pPr>
            <w:r w:rsidRPr="00FF5684">
              <w:rPr>
                <w:rFonts w:ascii="Arial Narrow" w:hAnsi="Arial Narrow"/>
                <w:sz w:val="20"/>
                <w:szCs w:val="20"/>
                <w:lang w:val="en-GB"/>
              </w:rPr>
              <w:t>1</w:t>
            </w:r>
            <w:r w:rsidR="00EE14B4" w:rsidRPr="00FF5684">
              <w:rPr>
                <w:rFonts w:ascii="Arial Narrow" w:hAnsi="Arial Narrow"/>
                <w:sz w:val="20"/>
                <w:szCs w:val="20"/>
                <w:lang w:val="en-GB"/>
              </w:rPr>
              <w:t>2</w:t>
            </w:r>
            <w:r w:rsidRPr="00FF5684">
              <w:rPr>
                <w:rFonts w:ascii="Arial Narrow" w:hAnsi="Arial Narrow"/>
                <w:sz w:val="20"/>
                <w:szCs w:val="20"/>
                <w:lang w:val="en-GB"/>
              </w:rPr>
              <w:t xml:space="preserve"> hours</w:t>
            </w:r>
          </w:p>
        </w:tc>
      </w:tr>
      <w:tr w:rsidR="008D32F7" w:rsidRPr="00FF5684" w14:paraId="603AF64C" w14:textId="77777777" w:rsidTr="009E0C62">
        <w:trPr>
          <w:trHeight w:val="663"/>
        </w:trPr>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E5197F" w14:textId="5107AC88"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 xml:space="preserve">3. </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53B531" w14:textId="388F3A6F" w:rsidR="00AA3185"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b/>
                <w:bCs/>
                <w:color w:val="auto"/>
                <w:sz w:val="20"/>
                <w:szCs w:val="20"/>
                <w:lang w:val="en-GB"/>
              </w:rPr>
            </w:pPr>
            <w:r w:rsidRPr="00FF5684">
              <w:rPr>
                <w:rFonts w:ascii="Arial Narrow" w:eastAsia="Arial Unicode MS" w:hAnsi="Arial Narrow" w:cs="Times New Roman"/>
                <w:b/>
                <w:bCs/>
                <w:color w:val="auto"/>
                <w:sz w:val="20"/>
                <w:szCs w:val="20"/>
                <w:lang w:val="en-GB"/>
              </w:rPr>
              <w:t>III.3 European Best Practice in shaping and enforcing labo</w:t>
            </w:r>
            <w:r w:rsidR="00FF5684">
              <w:rPr>
                <w:rFonts w:ascii="Arial Narrow" w:eastAsia="Arial Unicode MS" w:hAnsi="Arial Narrow" w:cs="Times New Roman"/>
                <w:b/>
                <w:bCs/>
                <w:color w:val="auto"/>
                <w:sz w:val="20"/>
                <w:szCs w:val="20"/>
                <w:lang w:val="en-GB"/>
              </w:rPr>
              <w:t>u</w:t>
            </w:r>
            <w:r w:rsidRPr="00FF5684">
              <w:rPr>
                <w:rFonts w:ascii="Arial Narrow" w:eastAsia="Arial Unicode MS" w:hAnsi="Arial Narrow" w:cs="Times New Roman"/>
                <w:b/>
                <w:bCs/>
                <w:color w:val="auto"/>
                <w:sz w:val="20"/>
                <w:szCs w:val="20"/>
                <w:lang w:val="en-GB"/>
              </w:rPr>
              <w:t>r conditions</w:t>
            </w:r>
          </w:p>
          <w:p w14:paraId="555B1E9F" w14:textId="094DABA4" w:rsidR="00AA3185"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III.3.1 Working conditions. European rules and procedures</w:t>
            </w:r>
          </w:p>
          <w:p w14:paraId="23B2A37D" w14:textId="3C0485BF" w:rsidR="00AA3185"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III.3.2 Training and improvement of employees, especially youth</w:t>
            </w:r>
          </w:p>
          <w:p w14:paraId="28E2FBAF" w14:textId="52FC37AE" w:rsidR="008D32F7" w:rsidRPr="00FF5684" w:rsidRDefault="00AA3185"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III.3.3 Industrial relations: unitarism, pluralism and radicalism.</w:t>
            </w:r>
          </w:p>
          <w:p w14:paraId="731005BC" w14:textId="298D3BA0" w:rsidR="00A430D3" w:rsidRPr="00FF5684" w:rsidRDefault="00A430D3" w:rsidP="00AA318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Narrow" w:eastAsia="Arial Unicode MS" w:hAnsi="Arial Narrow" w:cs="Times New Roman"/>
                <w:color w:val="auto"/>
                <w:sz w:val="20"/>
                <w:szCs w:val="20"/>
                <w:lang w:val="en-GB"/>
              </w:rPr>
            </w:pPr>
            <w:r w:rsidRPr="00FF5684">
              <w:rPr>
                <w:rFonts w:ascii="Arial Narrow" w:eastAsia="Arial Unicode MS" w:hAnsi="Arial Narrow" w:cs="Times New Roman"/>
                <w:color w:val="auto"/>
                <w:sz w:val="20"/>
                <w:szCs w:val="20"/>
                <w:lang w:val="en-GB"/>
              </w:rPr>
              <w:t>III.3.4 Trade Union Tarde-Offs: Unions, Voters and Rise of Right-Wing Populism.</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48B8ED04" w14:textId="52258049" w:rsidR="008D32F7" w:rsidRPr="00FF5684" w:rsidRDefault="008D32F7">
            <w:pPr>
              <w:ind w:left="57"/>
              <w:jc w:val="center"/>
              <w:rPr>
                <w:rFonts w:ascii="Arial Narrow" w:hAnsi="Arial Narrow"/>
                <w:sz w:val="20"/>
                <w:szCs w:val="20"/>
                <w:lang w:val="en-GB"/>
              </w:rPr>
            </w:pPr>
            <w:r w:rsidRPr="00FF5684">
              <w:rPr>
                <w:rFonts w:ascii="Arial Narrow" w:hAnsi="Arial Narrow"/>
                <w:sz w:val="20"/>
                <w:szCs w:val="20"/>
                <w:lang w:val="en-GB"/>
              </w:rPr>
              <w:t>Interactive course, heuristic conversation, problem solving method</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96985B2" w14:textId="5515AC09" w:rsidR="008D32F7" w:rsidRPr="00FF5684" w:rsidRDefault="00351BA4">
            <w:pPr>
              <w:ind w:left="57"/>
              <w:jc w:val="center"/>
              <w:rPr>
                <w:rFonts w:ascii="Arial Narrow" w:hAnsi="Arial Narrow"/>
                <w:sz w:val="20"/>
                <w:szCs w:val="20"/>
                <w:lang w:val="en-GB"/>
              </w:rPr>
            </w:pPr>
            <w:r w:rsidRPr="00FF5684">
              <w:rPr>
                <w:rFonts w:ascii="Arial Narrow" w:hAnsi="Arial Narrow"/>
                <w:sz w:val="20"/>
                <w:szCs w:val="20"/>
                <w:lang w:val="en-GB"/>
              </w:rPr>
              <w:t>1</w:t>
            </w:r>
            <w:r w:rsidR="00EE14B4" w:rsidRPr="00FF5684">
              <w:rPr>
                <w:rFonts w:ascii="Arial Narrow" w:hAnsi="Arial Narrow"/>
                <w:sz w:val="20"/>
                <w:szCs w:val="20"/>
                <w:lang w:val="en-GB"/>
              </w:rPr>
              <w:t>2</w:t>
            </w:r>
            <w:r w:rsidRPr="00FF5684">
              <w:rPr>
                <w:rFonts w:ascii="Arial Narrow" w:hAnsi="Arial Narrow"/>
                <w:sz w:val="20"/>
                <w:szCs w:val="20"/>
                <w:lang w:val="en-GB"/>
              </w:rPr>
              <w:t xml:space="preserve"> hours</w:t>
            </w:r>
          </w:p>
        </w:tc>
      </w:tr>
      <w:tr w:rsidR="00E318ED" w:rsidRPr="00FF5684" w14:paraId="3A0CE50B" w14:textId="77777777" w:rsidTr="007554B0">
        <w:trPr>
          <w:trHeight w:val="10396"/>
        </w:trPr>
        <w:tc>
          <w:tcPr>
            <w:tcW w:w="9889"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5C900F5C" w14:textId="0F83BE4C" w:rsidR="00E318ED" w:rsidRPr="00FF5684" w:rsidRDefault="00E318ED">
            <w:pPr>
              <w:pStyle w:val="ColorfulList-Accent11"/>
              <w:ind w:left="0"/>
              <w:rPr>
                <w:rFonts w:ascii="Arial Narrow" w:hAnsi="Arial Narrow"/>
                <w:sz w:val="20"/>
                <w:szCs w:val="20"/>
                <w:lang w:val="en-GB"/>
              </w:rPr>
            </w:pPr>
            <w:r w:rsidRPr="00FF5684">
              <w:rPr>
                <w:rFonts w:ascii="Arial Narrow" w:hAnsi="Arial Narrow"/>
                <w:b/>
                <w:bCs/>
                <w:sz w:val="20"/>
                <w:szCs w:val="20"/>
                <w:lang w:val="en-GB"/>
              </w:rPr>
              <w:lastRenderedPageBreak/>
              <w:t>Bibliography</w:t>
            </w:r>
          </w:p>
          <w:p w14:paraId="6C11C670"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Aloisi, A. (2015). Commoditized workers: Case study research on labor law issues arising from a set of on-demand/gig economy platforms. Comp. Lab. L. &amp; Pol'y J., 37, 653.</w:t>
            </w:r>
          </w:p>
          <w:p w14:paraId="00F6B3D3"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Assante, D., Romano, E., Flamini, M., Castro, M., Martin, S., Lavirotte, S., ... &amp; Gallo, R. T. (2018). Internet of Things education: Labor market training needs and national policies. In Global Engineering Education Conference (EDUCON), 2018 IEEE (pp. 1846-1853). IEEE.</w:t>
            </w:r>
          </w:p>
          <w:p w14:paraId="135D56E2"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Bercu, Ana-Maria; Vodă, Ana Iolanda. (2017), Labor Relations: Contemporary Issues in Human Resource Management, chapter in volume Issue of Human Resource Management (edited by Ladisslav Mura), Published by InTech, Croatia, pp. 153-167, indexed in Book Citation Index of Web of Science, Core Collection (BKCI)– Thompson Reuters.</w:t>
            </w:r>
          </w:p>
          <w:p w14:paraId="7EDADC8A"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Bercu, Ana-Maria. (2017), Impact of employees’ training programmes on job satisfaction, </w:t>
            </w:r>
            <w:r w:rsidRPr="00FF5684">
              <w:rPr>
                <w:rFonts w:ascii="Arial Narrow" w:hAnsi="Arial Narrow" w:cs="Arial"/>
                <w:i/>
                <w:sz w:val="20"/>
                <w:szCs w:val="20"/>
                <w:lang w:val="en-GB"/>
              </w:rPr>
              <w:t>Current Science</w:t>
            </w:r>
            <w:r w:rsidRPr="00FF5684">
              <w:rPr>
                <w:rFonts w:ascii="Arial Narrow" w:hAnsi="Arial Narrow" w:cs="Arial"/>
                <w:sz w:val="20"/>
                <w:szCs w:val="20"/>
                <w:lang w:val="en-GB"/>
              </w:rPr>
              <w:t xml:space="preserve">, vol. 112, No. 7, 10 April 2017, pp. 1340 – 1345. </w:t>
            </w:r>
          </w:p>
          <w:p w14:paraId="2D4B8791"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Bercusson, Brian. Ed. (2002), </w:t>
            </w:r>
            <w:r w:rsidRPr="00FF5684">
              <w:rPr>
                <w:rFonts w:ascii="Arial Narrow" w:hAnsi="Arial Narrow" w:cs="Times New Roman"/>
                <w:color w:val="auto"/>
                <w:sz w:val="20"/>
                <w:szCs w:val="20"/>
                <w:lang w:val="en-GB"/>
              </w:rPr>
              <w:t>European labour law and the EU Charter of Fundamental Rights, ETUI, Brussels.</w:t>
            </w:r>
          </w:p>
          <w:p w14:paraId="459C976C"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Bomba, A., Kunanets, N., Nazaruk, M., Pasichnyk, V., &amp; Veretennikova, N. (2018). Information Technologies of Modeling Processes for Preparation of Professionals in Smart Cities. In International Conference on Theory and Applications of Fuzzy Systems and Soft Computing (pp. 702-712). Springer, Cham.</w:t>
            </w:r>
          </w:p>
          <w:p w14:paraId="2369EA98"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Buch, T., Hamann, S., Niebuhr, A., &amp; Rossen, A. (2014). What makes cities attractive? The determinants of urban labour migration in Germany. Urban Studies, 51(9), 1960-1978.</w:t>
            </w:r>
          </w:p>
          <w:p w14:paraId="31599353"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Coyle-Shapiro, J. A.-M. / Shore, L.M. / Taylor, M.S. / Tetrick, L.E. (2004): The Employment Relationship: Examining Psychological and Contextual Perspectives, New York: Oxford University </w:t>
            </w:r>
          </w:p>
          <w:p w14:paraId="5475A347"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Crouch, C. (2003): Industrial relations and European State Traditions, Oxford: Clarendon Press</w:t>
            </w:r>
          </w:p>
          <w:p w14:paraId="4005C99D"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De Lange, M., Gesthuizen, M., &amp; Wolbers, M. H. (2014). Youth labour market integration across Europe: The impact of cyclical, structural, and institutional characteristics. European Societies, 16(2), 194-212.</w:t>
            </w:r>
          </w:p>
          <w:p w14:paraId="39145850"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 xml:space="preserve">European Commision (2011): Industrial Relations in Europe 2012, Luxembourg: Publications Office of the European Union </w:t>
            </w:r>
          </w:p>
          <w:p w14:paraId="5C8CCB74"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Fransen, L., &amp; Burgoon, B. (2015). Global Labour</w:t>
            </w:r>
            <w:r w:rsidRPr="00FF5684">
              <w:rPr>
                <w:rFonts w:ascii="Cambria Math" w:hAnsi="Cambria Math" w:cs="Cambria Math"/>
                <w:sz w:val="20"/>
                <w:szCs w:val="20"/>
                <w:lang w:val="en-GB"/>
              </w:rPr>
              <w:t>‐</w:t>
            </w:r>
            <w:r w:rsidRPr="00FF5684">
              <w:rPr>
                <w:rFonts w:ascii="Arial Narrow" w:hAnsi="Arial Narrow" w:cs="Arial"/>
                <w:sz w:val="20"/>
                <w:szCs w:val="20"/>
                <w:lang w:val="en-GB"/>
              </w:rPr>
              <w:t>Standards Advocacy by European Civil Society Organizations: Trends and Developments. British journal of industrial relations, 53(2), 204-230.</w:t>
            </w:r>
          </w:p>
          <w:p w14:paraId="20660B8B"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Frege, C. (2010): Industrial relations in continental Europe, in: Ackers, P./ Wilkinson, A. (ed.): Understanding Work &amp; Employment – industrial relations in transition, Oxford: Oxford University Press</w:t>
            </w:r>
          </w:p>
          <w:p w14:paraId="05D58447"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Grinevica, L., &amp; Rivza, B. (2015). Youth Long-term Unemployment Problems and Integration into the Labour Market. In Nordic View to Sustainable Rural development, Proceedings of the 25th NJF Congress (pp. 462-467).</w:t>
            </w:r>
          </w:p>
          <w:p w14:paraId="6B4054C8"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Ibarraran, P., Ripani, L., Taboada, B., Villa, J. M., &amp; Garcia, B. (2014). Life skills, employability and training for disadvantaged youth: Evidence from a randomized evaluation design. IZA Journal of Labor &amp; Development, 3(1), 10.</w:t>
            </w:r>
          </w:p>
          <w:p w14:paraId="1E017751"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Marone, F., &amp; Cucca, A. (2018). Smart Cities for Women: New Scenarios for Equal Opportunities. A Pedagogical Perspective. In International Conference on Gender Research. Academic Conferences and publishing limited.</w:t>
            </w:r>
          </w:p>
          <w:p w14:paraId="394B1F3D"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Cambria"/>
                <w:sz w:val="20"/>
                <w:szCs w:val="20"/>
                <w:lang w:val="en-GB"/>
              </w:rPr>
            </w:pPr>
            <w:r w:rsidRPr="00FF5684">
              <w:rPr>
                <w:rFonts w:ascii="Arial Narrow" w:hAnsi="Arial Narrow" w:cs="Arial"/>
                <w:sz w:val="20"/>
                <w:szCs w:val="20"/>
                <w:lang w:val="en-GB"/>
              </w:rPr>
              <w:t>Müller-Jentsch, W. (2004): Theoretical Approaches to Industrial Relations, in: Kaufman, B. (ed.): Theoretical Perspectives on Work and the Employment Relationship, Campaign: IRRA Series</w:t>
            </w:r>
          </w:p>
          <w:p w14:paraId="11FA4593"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Picatoste, J., Pérez-Ortiz, L., Ruesga-Benito, S. M., &amp; Novo-Corti, I. (2017). Smart cities for wellbeing: youth employment and their skills on computers. Journal of Science and Technology Policy Management.</w:t>
            </w:r>
          </w:p>
          <w:p w14:paraId="494BC6C8"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Sharmeen, F., &amp; Meurs, H. (2019). The Governance of Demand-Responsive Transit Systems—A Multi-level Perspective. In The Governance of Smart Transportation Systems (pp. 207-227). Springer, Cham.</w:t>
            </w:r>
          </w:p>
          <w:p w14:paraId="7B15D133" w14:textId="77777777" w:rsidR="00E318ED" w:rsidRPr="00FF5684" w:rsidRDefault="00E318ED" w:rsidP="00C929E4">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Stachová, K., Papula, J., Stacho, Z., &amp; Kohnová, L. (2019). External Partnerships in Employee Education and Development as the Key to Facing Industry 4.0 Challenges. Sustainability, 11(2), 345.</w:t>
            </w:r>
          </w:p>
          <w:p w14:paraId="0F079CF9" w14:textId="77777777"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cs="Arial"/>
                <w:sz w:val="20"/>
                <w:szCs w:val="20"/>
                <w:lang w:val="en-GB"/>
              </w:rPr>
            </w:pPr>
            <w:r w:rsidRPr="00FF5684">
              <w:rPr>
                <w:rFonts w:ascii="Arial Narrow" w:hAnsi="Arial Narrow" w:cs="Arial"/>
                <w:sz w:val="20"/>
                <w:szCs w:val="20"/>
                <w:lang w:val="en-GB"/>
              </w:rPr>
              <w:t>Tofan, Mihaela; Bercu, Ana-Maria. (2017), The Legal Framework for Mobility of Human Resources within EU: A Romanian Fiscal Liability Approach, Athens Journal of Law, vol. 3, issue 3, July 2017, pp. 231 – 242.</w:t>
            </w:r>
            <w:r w:rsidRPr="00FF5684">
              <w:rPr>
                <w:rStyle w:val="apple-converted-space"/>
                <w:rFonts w:ascii="Arial Narrow" w:hAnsi="Arial Narrow" w:cs="Arial"/>
                <w:sz w:val="20"/>
                <w:szCs w:val="20"/>
                <w:lang w:val="en-GB"/>
              </w:rPr>
              <w:t> </w:t>
            </w:r>
            <w:r w:rsidRPr="00FF5684">
              <w:rPr>
                <w:rFonts w:ascii="Arial Narrow" w:hAnsi="Arial Narrow" w:cs="Arial"/>
                <w:sz w:val="20"/>
                <w:szCs w:val="20"/>
                <w:lang w:val="en-GB"/>
              </w:rPr>
              <w:t>(</w:t>
            </w:r>
            <w:hyperlink r:id="rId8" w:history="1">
              <w:r w:rsidRPr="00FF5684">
                <w:rPr>
                  <w:rStyle w:val="Hyperlink"/>
                  <w:rFonts w:ascii="Arial Narrow" w:hAnsi="Arial Narrow" w:cs="Arial"/>
                  <w:color w:val="800080"/>
                  <w:sz w:val="20"/>
                  <w:szCs w:val="20"/>
                  <w:lang w:val="en-GB"/>
                </w:rPr>
                <w:t>https://www.athensjournals.gr/law/2017-3-3-4-Tofan.pdf</w:t>
              </w:r>
            </w:hyperlink>
            <w:r w:rsidRPr="00FF5684">
              <w:rPr>
                <w:rFonts w:ascii="Arial Narrow" w:hAnsi="Arial Narrow" w:cs="Arial"/>
                <w:sz w:val="20"/>
                <w:szCs w:val="20"/>
                <w:lang w:val="en-GB"/>
              </w:rPr>
              <w:t>).</w:t>
            </w:r>
          </w:p>
          <w:p w14:paraId="06E27E1D" w14:textId="321DB148" w:rsidR="00E318ED" w:rsidRPr="00FF5684" w:rsidRDefault="00E318ED" w:rsidP="00C929E4">
            <w:pPr>
              <w:pStyle w:val="ListParagraph"/>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Narrow" w:hAnsi="Arial Narrow"/>
                <w:sz w:val="20"/>
                <w:szCs w:val="20"/>
                <w:lang w:val="en-GB"/>
              </w:rPr>
            </w:pPr>
            <w:r w:rsidRPr="00FF5684">
              <w:rPr>
                <w:rFonts w:ascii="Arial Narrow" w:hAnsi="Arial Narrow" w:cs="Arial"/>
                <w:sz w:val="20"/>
                <w:szCs w:val="20"/>
                <w:lang w:val="en-GB"/>
              </w:rPr>
              <w:t>Visvizi, A., &amp; Lytras, M. (2018). It’s not a fad: Smart cities and smart villages research in European and global contexts.</w:t>
            </w:r>
            <w:r w:rsidRPr="00FF5684">
              <w:rPr>
                <w:rStyle w:val="Heading1Char"/>
                <w:rFonts w:ascii="Arial Narrow" w:eastAsia="Cambria" w:hAnsi="Arial Narrow" w:cs="Arial"/>
                <w:sz w:val="20"/>
                <w:lang w:val="en-GB"/>
              </w:rPr>
              <w:t xml:space="preserve"> </w:t>
            </w:r>
            <w:r w:rsidRPr="00FF5684">
              <w:rPr>
                <w:rStyle w:val="Emphasis"/>
                <w:rFonts w:ascii="Arial Narrow" w:hAnsi="Arial Narrow" w:cs="Arial"/>
                <w:sz w:val="20"/>
                <w:szCs w:val="20"/>
                <w:lang w:val="en-GB"/>
              </w:rPr>
              <w:t>Sustainability</w:t>
            </w:r>
            <w:r w:rsidRPr="00FF5684">
              <w:rPr>
                <w:rFonts w:ascii="Arial Narrow" w:hAnsi="Arial Narrow" w:cs="Arial"/>
                <w:sz w:val="20"/>
                <w:szCs w:val="20"/>
                <w:lang w:val="en-GB"/>
              </w:rPr>
              <w:t xml:space="preserve">, </w:t>
            </w:r>
            <w:r w:rsidRPr="00FF5684">
              <w:rPr>
                <w:rStyle w:val="Emphasis"/>
                <w:rFonts w:ascii="Arial Narrow" w:hAnsi="Arial Narrow" w:cs="Arial"/>
                <w:sz w:val="20"/>
                <w:szCs w:val="20"/>
                <w:lang w:val="en-GB"/>
              </w:rPr>
              <w:t>10</w:t>
            </w:r>
            <w:r w:rsidRPr="00FF5684">
              <w:rPr>
                <w:rFonts w:ascii="Arial Narrow" w:hAnsi="Arial Narrow" w:cs="Arial"/>
                <w:sz w:val="20"/>
                <w:szCs w:val="20"/>
                <w:lang w:val="en-GB"/>
              </w:rPr>
              <w:t>, 2727</w:t>
            </w:r>
          </w:p>
        </w:tc>
      </w:tr>
    </w:tbl>
    <w:p w14:paraId="23BBA9F0" w14:textId="77777777" w:rsidR="009E0C62" w:rsidRPr="00FF5684" w:rsidRDefault="009E0C62">
      <w:pPr>
        <w:rPr>
          <w:rFonts w:ascii="Arial Narrow" w:eastAsia="Arial" w:hAnsi="Arial Narrow" w:cs="Arial"/>
          <w:sz w:val="20"/>
          <w:szCs w:val="20"/>
          <w:lang w:val="en-GB"/>
        </w:rPr>
      </w:pPr>
    </w:p>
    <w:tbl>
      <w:tblPr>
        <w:tblW w:w="98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44"/>
      </w:tblGrid>
      <w:tr w:rsidR="00CA59D7" w:rsidRPr="00FF5684" w14:paraId="4397462B" w14:textId="77777777">
        <w:trPr>
          <w:trHeight w:val="448"/>
        </w:trPr>
        <w:tc>
          <w:tcPr>
            <w:tcW w:w="9844" w:type="dxa"/>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58655C6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 xml:space="preserve">9. Bridging course content with the expectations of the community, professional associations and representative employers in the field of the program </w:t>
            </w:r>
          </w:p>
        </w:tc>
      </w:tr>
      <w:tr w:rsidR="00CA59D7" w:rsidRPr="00FF5684" w14:paraId="492C903D" w14:textId="77777777">
        <w:trPr>
          <w:trHeight w:val="1098"/>
        </w:trPr>
        <w:tc>
          <w:tcPr>
            <w:tcW w:w="9844"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1D6BBC89" w14:textId="53AABB12" w:rsidR="00CA59D7" w:rsidRPr="00FF5684" w:rsidRDefault="00351291">
            <w:pPr>
              <w:ind w:left="57"/>
              <w:rPr>
                <w:rFonts w:ascii="Arial Narrow" w:hAnsi="Arial Narrow"/>
                <w:sz w:val="20"/>
                <w:szCs w:val="20"/>
                <w:lang w:val="en-GB"/>
              </w:rPr>
            </w:pPr>
            <w:r w:rsidRPr="00FF5684">
              <w:rPr>
                <w:rFonts w:ascii="Arial Narrow" w:hAnsi="Arial Narrow"/>
                <w:sz w:val="20"/>
                <w:szCs w:val="20"/>
                <w:lang w:val="en-GB"/>
              </w:rPr>
              <w:t>After each Summer School</w:t>
            </w:r>
            <w:r w:rsidR="00C03B6F" w:rsidRPr="00FF5684">
              <w:rPr>
                <w:rFonts w:ascii="Arial Narrow" w:hAnsi="Arial Narrow"/>
                <w:sz w:val="20"/>
                <w:szCs w:val="20"/>
                <w:lang w:val="en-GB"/>
              </w:rPr>
              <w:t xml:space="preserve">, the course content is discussed with the </w:t>
            </w:r>
            <w:r w:rsidR="00794245" w:rsidRPr="00FF5684">
              <w:rPr>
                <w:rFonts w:ascii="Arial Narrow" w:hAnsi="Arial Narrow"/>
                <w:sz w:val="20"/>
                <w:szCs w:val="20"/>
                <w:lang w:val="en-GB"/>
              </w:rPr>
              <w:t xml:space="preserve">students, teachers and </w:t>
            </w:r>
            <w:r w:rsidR="00C03B6F" w:rsidRPr="00FF5684">
              <w:rPr>
                <w:rFonts w:ascii="Arial Narrow" w:hAnsi="Arial Narrow"/>
                <w:sz w:val="20"/>
                <w:szCs w:val="20"/>
                <w:lang w:val="en-GB"/>
              </w:rPr>
              <w:t>representatives of the business environmen</w:t>
            </w:r>
            <w:r w:rsidR="00794245" w:rsidRPr="00FF5684">
              <w:rPr>
                <w:rFonts w:ascii="Arial Narrow" w:hAnsi="Arial Narrow"/>
                <w:sz w:val="20"/>
                <w:szCs w:val="20"/>
                <w:lang w:val="en-GB"/>
              </w:rPr>
              <w:t>t during the research and scientific events of the JM Project in order to receive</w:t>
            </w:r>
            <w:r w:rsidR="00C03B6F" w:rsidRPr="00FF5684">
              <w:rPr>
                <w:rFonts w:ascii="Arial Narrow" w:hAnsi="Arial Narrow"/>
                <w:sz w:val="20"/>
                <w:szCs w:val="20"/>
                <w:lang w:val="en-GB"/>
              </w:rPr>
              <w:t xml:space="preserve"> feedback (on-line, anonymous) about the course structure, teaching methods, as well as strengths / weaknesses (after the final evaluation)</w:t>
            </w:r>
            <w:r w:rsidR="00794245" w:rsidRPr="00FF5684">
              <w:rPr>
                <w:rFonts w:ascii="Arial Narrow" w:hAnsi="Arial Narrow"/>
                <w:sz w:val="20"/>
                <w:szCs w:val="20"/>
                <w:lang w:val="en-GB"/>
              </w:rPr>
              <w:t xml:space="preserve"> and to increase the reliability of the content to be adapted at </w:t>
            </w:r>
            <w:r w:rsidR="00756DAC" w:rsidRPr="00FF5684">
              <w:rPr>
                <w:rFonts w:ascii="Arial Narrow" w:hAnsi="Arial Narrow"/>
                <w:sz w:val="20"/>
                <w:szCs w:val="20"/>
                <w:lang w:val="en-GB"/>
              </w:rPr>
              <w:t xml:space="preserve">scientific developments and practical </w:t>
            </w:r>
            <w:r w:rsidR="00740C9A" w:rsidRPr="00FF5684">
              <w:rPr>
                <w:rFonts w:ascii="Arial Narrow" w:hAnsi="Arial Narrow"/>
                <w:sz w:val="20"/>
                <w:szCs w:val="20"/>
                <w:lang w:val="en-GB"/>
              </w:rPr>
              <w:t>implications</w:t>
            </w:r>
            <w:r w:rsidR="00794245" w:rsidRPr="00FF5684">
              <w:rPr>
                <w:rFonts w:ascii="Arial Narrow" w:hAnsi="Arial Narrow"/>
                <w:sz w:val="20"/>
                <w:szCs w:val="20"/>
                <w:lang w:val="en-GB"/>
              </w:rPr>
              <w:t>.</w:t>
            </w:r>
          </w:p>
        </w:tc>
      </w:tr>
    </w:tbl>
    <w:p w14:paraId="4DA63E0A" w14:textId="77777777" w:rsidR="00CA59D7" w:rsidRPr="00FF5684" w:rsidRDefault="00CA59D7">
      <w:pPr>
        <w:rPr>
          <w:rFonts w:ascii="Arial Narrow" w:eastAsia="Arial" w:hAnsi="Arial Narrow" w:cs="Arial"/>
          <w:sz w:val="20"/>
          <w:szCs w:val="20"/>
          <w:lang w:val="en-GB"/>
        </w:rPr>
      </w:pPr>
    </w:p>
    <w:tbl>
      <w:tblPr>
        <w:tblW w:w="9889" w:type="dxa"/>
        <w:tblInd w:w="16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18"/>
        <w:gridCol w:w="2835"/>
        <w:gridCol w:w="2693"/>
        <w:gridCol w:w="1843"/>
      </w:tblGrid>
      <w:tr w:rsidR="00CA59D7" w:rsidRPr="00FF5684" w14:paraId="0667B02B" w14:textId="77777777">
        <w:trPr>
          <w:trHeight w:val="228"/>
        </w:trPr>
        <w:tc>
          <w:tcPr>
            <w:tcW w:w="9889" w:type="dxa"/>
            <w:gridSpan w:val="4"/>
            <w:tcBorders>
              <w:top w:val="nil"/>
              <w:left w:val="nil"/>
              <w:bottom w:val="single" w:sz="4" w:space="0" w:color="000000"/>
              <w:right w:val="nil"/>
            </w:tcBorders>
            <w:shd w:val="clear" w:color="auto" w:fill="auto"/>
            <w:tcMar>
              <w:top w:w="80" w:type="dxa"/>
              <w:left w:w="137" w:type="dxa"/>
              <w:bottom w:w="80" w:type="dxa"/>
              <w:right w:w="80" w:type="dxa"/>
            </w:tcMar>
            <w:vAlign w:val="center"/>
          </w:tcPr>
          <w:p w14:paraId="7DA6E337"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lastRenderedPageBreak/>
              <w:t>10. Evaluation</w:t>
            </w:r>
          </w:p>
        </w:tc>
      </w:tr>
      <w:tr w:rsidR="00CA59D7" w:rsidRPr="00FF5684" w14:paraId="169BB2CA" w14:textId="77777777">
        <w:trPr>
          <w:trHeight w:val="66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2DE0669"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Type of activity</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AA8CB1A"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10.1 Evaluation criteria</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8847FE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10.2 Evaluation methods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7E2CC558" w14:textId="77777777" w:rsidR="00CA59D7" w:rsidRPr="00FF5684" w:rsidRDefault="00C03B6F">
            <w:pPr>
              <w:ind w:left="57"/>
              <w:jc w:val="center"/>
              <w:rPr>
                <w:rFonts w:ascii="Arial Narrow" w:hAnsi="Arial Narrow"/>
                <w:sz w:val="20"/>
                <w:szCs w:val="20"/>
                <w:lang w:val="en-GB"/>
              </w:rPr>
            </w:pPr>
            <w:r w:rsidRPr="00FF5684">
              <w:rPr>
                <w:rFonts w:ascii="Arial Narrow" w:hAnsi="Arial Narrow"/>
                <w:b/>
                <w:bCs/>
                <w:sz w:val="20"/>
                <w:szCs w:val="20"/>
                <w:lang w:val="en-GB"/>
              </w:rPr>
              <w:t>10.3 Allocation to the final grade (%)</w:t>
            </w:r>
          </w:p>
        </w:tc>
      </w:tr>
      <w:tr w:rsidR="00CA59D7" w:rsidRPr="00FF5684" w14:paraId="3BCD97DA"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6E269F8F"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10.4</w:t>
            </w:r>
            <w:r w:rsidRPr="00FF5684">
              <w:rPr>
                <w:rFonts w:ascii="Arial Narrow" w:hAnsi="Arial Narrow"/>
                <w:sz w:val="20"/>
                <w:szCs w:val="20"/>
                <w:lang w:val="en-GB"/>
              </w:rPr>
              <w:t xml:space="preserve"> Course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AC42948"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Theoretical and applied knowledge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70BD3C" w14:textId="7B49C759" w:rsidR="006043E8" w:rsidRPr="00FF5684" w:rsidRDefault="00C546DD">
            <w:pPr>
              <w:ind w:left="57"/>
              <w:jc w:val="center"/>
              <w:rPr>
                <w:rFonts w:ascii="Arial Narrow" w:hAnsi="Arial Narrow"/>
                <w:sz w:val="20"/>
                <w:szCs w:val="20"/>
                <w:lang w:val="en-GB"/>
              </w:rPr>
            </w:pPr>
            <w:r w:rsidRPr="00FF5684">
              <w:rPr>
                <w:rFonts w:ascii="Arial Narrow" w:hAnsi="Arial Narrow"/>
                <w:b/>
                <w:bCs/>
                <w:sz w:val="20"/>
                <w:szCs w:val="20"/>
                <w:lang w:val="en-GB"/>
              </w:rPr>
              <w:t>Attendance and active participation</w:t>
            </w:r>
            <w:r w:rsidRPr="00FF5684">
              <w:rPr>
                <w:rFonts w:ascii="Arial Narrow" w:hAnsi="Arial Narrow"/>
                <w:sz w:val="20"/>
                <w:szCs w:val="20"/>
                <w:lang w:val="en-GB"/>
              </w:rPr>
              <w:t xml:space="preserve"> (2 points/ attendance + 4 points for active participation): 40% of final grade</w:t>
            </w:r>
          </w:p>
          <w:p w14:paraId="4CCF44EA" w14:textId="344450AA" w:rsidR="00C546DD" w:rsidRPr="00FF5684" w:rsidRDefault="00C546DD">
            <w:pPr>
              <w:ind w:left="57"/>
              <w:jc w:val="center"/>
              <w:rPr>
                <w:rFonts w:ascii="Arial Narrow" w:hAnsi="Arial Narrow"/>
                <w:sz w:val="20"/>
                <w:szCs w:val="20"/>
                <w:lang w:val="en-GB"/>
              </w:rPr>
            </w:pPr>
            <w:r w:rsidRPr="00FF5684">
              <w:rPr>
                <w:rFonts w:ascii="Arial Narrow" w:hAnsi="Arial Narrow"/>
                <w:b/>
                <w:bCs/>
                <w:sz w:val="20"/>
                <w:szCs w:val="20"/>
                <w:lang w:val="en-GB"/>
              </w:rPr>
              <w:t>Team project:</w:t>
            </w:r>
            <w:r w:rsidRPr="00FF5684">
              <w:rPr>
                <w:rFonts w:ascii="Arial Narrow" w:hAnsi="Arial Narrow"/>
                <w:sz w:val="20"/>
                <w:szCs w:val="20"/>
                <w:lang w:val="en-GB"/>
              </w:rPr>
              <w:t xml:space="preserve"> empirical and exploratory research on a topic at students’/</w:t>
            </w:r>
            <w:r w:rsidR="0009439F" w:rsidRPr="00FF5684">
              <w:rPr>
                <w:rFonts w:ascii="Arial Narrow" w:hAnsi="Arial Narrow"/>
                <w:sz w:val="20"/>
                <w:szCs w:val="20"/>
                <w:lang w:val="en-GB"/>
              </w:rPr>
              <w:t>researchers’</w:t>
            </w:r>
            <w:r w:rsidRPr="00FF5684">
              <w:rPr>
                <w:rFonts w:ascii="Arial Narrow" w:hAnsi="Arial Narrow"/>
                <w:sz w:val="20"/>
                <w:szCs w:val="20"/>
                <w:lang w:val="en-GB"/>
              </w:rPr>
              <w:t xml:space="preserve"> choice, related to the topics of the course: 60% of final grade</w:t>
            </w:r>
          </w:p>
          <w:p w14:paraId="1FE6B2B7" w14:textId="77777777" w:rsidR="00C546DD" w:rsidRPr="00FF5684" w:rsidRDefault="00C546DD">
            <w:pPr>
              <w:ind w:left="57"/>
              <w:jc w:val="center"/>
              <w:rPr>
                <w:rFonts w:ascii="Arial Narrow" w:hAnsi="Arial Narrow"/>
                <w:sz w:val="20"/>
                <w:szCs w:val="20"/>
                <w:lang w:val="en-GB"/>
              </w:rPr>
            </w:pPr>
          </w:p>
          <w:p w14:paraId="3270A492" w14:textId="70953DEC" w:rsidR="006043E8" w:rsidRPr="00FF5684" w:rsidRDefault="006043E8">
            <w:pPr>
              <w:ind w:left="57"/>
              <w:jc w:val="center"/>
              <w:rPr>
                <w:rFonts w:ascii="Arial Narrow" w:hAnsi="Arial Narrow"/>
                <w:sz w:val="20"/>
                <w:szCs w:val="20"/>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66640B8"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100%</w:t>
            </w:r>
          </w:p>
        </w:tc>
      </w:tr>
      <w:tr w:rsidR="00CA59D7" w:rsidRPr="00FF5684" w14:paraId="747AAF06" w14:textId="77777777">
        <w:trPr>
          <w:trHeight w:val="443"/>
        </w:trPr>
        <w:tc>
          <w:tcPr>
            <w:tcW w:w="2518"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476B33" w14:textId="20DAEF3B"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10.5</w:t>
            </w:r>
            <w:r w:rsidRPr="00FF5684">
              <w:rPr>
                <w:rFonts w:ascii="Arial Narrow" w:hAnsi="Arial Narrow"/>
                <w:sz w:val="20"/>
                <w:szCs w:val="20"/>
                <w:lang w:val="en-GB"/>
              </w:rPr>
              <w:t xml:space="preserve"> </w:t>
            </w:r>
            <w:r w:rsidR="00C546DD" w:rsidRPr="00FF5684">
              <w:rPr>
                <w:rFonts w:ascii="Arial Narrow" w:hAnsi="Arial Narrow"/>
                <w:sz w:val="20"/>
                <w:szCs w:val="20"/>
                <w:lang w:val="en-GB"/>
              </w:rPr>
              <w:t>Evaluation conditions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E857AD" w14:textId="12A16725" w:rsidR="00CA59D7" w:rsidRPr="00FF5684" w:rsidRDefault="00C546DD">
            <w:pPr>
              <w:ind w:left="57"/>
              <w:rPr>
                <w:rFonts w:ascii="Arial Narrow" w:hAnsi="Arial Narrow"/>
                <w:sz w:val="20"/>
                <w:szCs w:val="20"/>
                <w:lang w:val="en-GB"/>
              </w:rPr>
            </w:pPr>
            <w:r w:rsidRPr="00FF5684">
              <w:rPr>
                <w:rFonts w:ascii="Arial Narrow" w:hAnsi="Arial Narrow"/>
                <w:sz w:val="20"/>
                <w:szCs w:val="20"/>
                <w:lang w:val="en-GB"/>
              </w:rPr>
              <w:t>Group discussions and analysis of case studies are highly encouraged; students and young researchers are encouraged to work in groups of 4 - 5 in order to elaborate comprehensive analysis on various subjects related to the course topics.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3783AA7" w14:textId="3450C2B3" w:rsidR="00CA59D7" w:rsidRPr="00FF5684" w:rsidRDefault="00C546DD">
            <w:pPr>
              <w:ind w:left="57"/>
              <w:jc w:val="center"/>
              <w:rPr>
                <w:rFonts w:ascii="Arial Narrow" w:hAnsi="Arial Narrow"/>
                <w:sz w:val="20"/>
                <w:szCs w:val="20"/>
                <w:lang w:val="en-GB"/>
              </w:rPr>
            </w:pPr>
            <w:r w:rsidRPr="00FF5684">
              <w:rPr>
                <w:rFonts w:ascii="Arial Narrow" w:hAnsi="Arial Narrow"/>
                <w:sz w:val="20"/>
                <w:szCs w:val="20"/>
                <w:lang w:val="en-GB"/>
              </w:rPr>
              <w:t xml:space="preserve">The completion of the requirements will allow students to receive the </w:t>
            </w:r>
            <w:r w:rsidRPr="00FF5684">
              <w:rPr>
                <w:rFonts w:ascii="Arial Narrow" w:hAnsi="Arial Narrow"/>
                <w:b/>
                <w:bCs/>
                <w:sz w:val="20"/>
                <w:szCs w:val="20"/>
                <w:lang w:val="en-GB"/>
              </w:rPr>
              <w:t>Jean Monnet Certificate</w:t>
            </w:r>
            <w:r w:rsidRPr="00FF5684">
              <w:rPr>
                <w:rFonts w:ascii="Arial Narrow" w:hAnsi="Arial Narrow"/>
                <w:sz w:val="20"/>
                <w:szCs w:val="20"/>
                <w:lang w:val="en-GB"/>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66ED1FD" w14:textId="77777777" w:rsidR="00CA59D7" w:rsidRPr="00FF5684" w:rsidRDefault="00C03B6F">
            <w:pPr>
              <w:ind w:left="57"/>
              <w:jc w:val="center"/>
              <w:rPr>
                <w:rFonts w:ascii="Arial Narrow" w:hAnsi="Arial Narrow"/>
                <w:sz w:val="20"/>
                <w:szCs w:val="20"/>
                <w:lang w:val="en-GB"/>
              </w:rPr>
            </w:pPr>
            <w:r w:rsidRPr="00FF5684">
              <w:rPr>
                <w:rFonts w:ascii="Arial Narrow" w:hAnsi="Arial Narrow"/>
                <w:sz w:val="20"/>
                <w:szCs w:val="20"/>
                <w:lang w:val="en-GB"/>
              </w:rPr>
              <w:t>-</w:t>
            </w:r>
          </w:p>
        </w:tc>
      </w:tr>
      <w:tr w:rsidR="00CA59D7" w:rsidRPr="00FF5684" w14:paraId="15939037" w14:textId="77777777">
        <w:trPr>
          <w:trHeight w:val="223"/>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21996A66" w14:textId="77777777" w:rsidR="00CA59D7" w:rsidRPr="00FF5684" w:rsidRDefault="00C03B6F">
            <w:pPr>
              <w:ind w:left="57"/>
              <w:rPr>
                <w:rFonts w:ascii="Arial Narrow" w:hAnsi="Arial Narrow"/>
                <w:sz w:val="20"/>
                <w:szCs w:val="20"/>
                <w:lang w:val="en-GB"/>
              </w:rPr>
            </w:pPr>
            <w:r w:rsidRPr="00FF5684">
              <w:rPr>
                <w:rFonts w:ascii="Arial Narrow" w:hAnsi="Arial Narrow"/>
                <w:b/>
                <w:bCs/>
                <w:sz w:val="20"/>
                <w:szCs w:val="20"/>
                <w:lang w:val="en-GB"/>
              </w:rPr>
              <w:t>10.6</w:t>
            </w:r>
            <w:r w:rsidRPr="00FF5684">
              <w:rPr>
                <w:rFonts w:ascii="Arial Narrow" w:hAnsi="Arial Narrow"/>
                <w:sz w:val="20"/>
                <w:szCs w:val="20"/>
                <w:lang w:val="en-GB"/>
              </w:rPr>
              <w:t xml:space="preserve"> Minimal performance standard </w:t>
            </w:r>
          </w:p>
        </w:tc>
      </w:tr>
      <w:tr w:rsidR="00CA59D7" w:rsidRPr="00FF5684" w14:paraId="636EEBDA" w14:textId="77777777">
        <w:trPr>
          <w:trHeight w:val="407"/>
        </w:trPr>
        <w:tc>
          <w:tcPr>
            <w:tcW w:w="988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137" w:type="dxa"/>
              <w:bottom w:w="80" w:type="dxa"/>
              <w:right w:w="80" w:type="dxa"/>
            </w:tcMar>
            <w:vAlign w:val="center"/>
          </w:tcPr>
          <w:p w14:paraId="59105A8E" w14:textId="18C70F5B"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 xml:space="preserve">Obtaining </w:t>
            </w:r>
            <w:r w:rsidR="0047642E" w:rsidRPr="00FF5684">
              <w:rPr>
                <w:rFonts w:ascii="Arial Narrow" w:hAnsi="Arial Narrow"/>
                <w:sz w:val="20"/>
                <w:szCs w:val="20"/>
                <w:lang w:val="en-GB"/>
              </w:rPr>
              <w:t>6</w:t>
            </w:r>
            <w:r w:rsidRPr="00FF5684">
              <w:rPr>
                <w:rFonts w:ascii="Arial Narrow" w:hAnsi="Arial Narrow"/>
                <w:sz w:val="20"/>
                <w:szCs w:val="20"/>
                <w:lang w:val="en-GB"/>
              </w:rPr>
              <w:t xml:space="preserve"> points (out of 10).</w:t>
            </w:r>
          </w:p>
        </w:tc>
      </w:tr>
    </w:tbl>
    <w:p w14:paraId="31D207FB" w14:textId="77777777" w:rsidR="00CA59D7" w:rsidRPr="00FF5684" w:rsidRDefault="00CA59D7" w:rsidP="004330BB">
      <w:pPr>
        <w:rPr>
          <w:rFonts w:ascii="Arial Narrow" w:eastAsia="Arial" w:hAnsi="Arial Narrow" w:cs="Arial"/>
          <w:sz w:val="20"/>
          <w:szCs w:val="20"/>
          <w:lang w:val="en-GB"/>
        </w:rPr>
      </w:pPr>
    </w:p>
    <w:p w14:paraId="6188F07D" w14:textId="77777777" w:rsidR="00CA59D7" w:rsidRPr="00FF5684" w:rsidRDefault="00CA59D7">
      <w:pPr>
        <w:ind w:left="57"/>
        <w:rPr>
          <w:rFonts w:ascii="Arial Narrow" w:eastAsia="Arial" w:hAnsi="Arial Narrow" w:cs="Arial"/>
          <w:sz w:val="20"/>
          <w:szCs w:val="20"/>
          <w:lang w:val="en-GB"/>
        </w:rPr>
      </w:pPr>
    </w:p>
    <w:tbl>
      <w:tblPr>
        <w:tblW w:w="9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448"/>
        <w:gridCol w:w="3472"/>
        <w:gridCol w:w="3728"/>
      </w:tblGrid>
      <w:tr w:rsidR="00CA59D7" w:rsidRPr="00FF5684" w14:paraId="25BA8341" w14:textId="77777777">
        <w:trPr>
          <w:trHeight w:val="213"/>
        </w:trPr>
        <w:tc>
          <w:tcPr>
            <w:tcW w:w="2448" w:type="dxa"/>
            <w:tcBorders>
              <w:top w:val="nil"/>
              <w:left w:val="nil"/>
              <w:bottom w:val="nil"/>
              <w:right w:val="nil"/>
            </w:tcBorders>
            <w:shd w:val="clear" w:color="auto" w:fill="auto"/>
            <w:tcMar>
              <w:top w:w="80" w:type="dxa"/>
              <w:left w:w="137" w:type="dxa"/>
              <w:bottom w:w="80" w:type="dxa"/>
              <w:right w:w="80" w:type="dxa"/>
            </w:tcMar>
          </w:tcPr>
          <w:p w14:paraId="5D7ED01D" w14:textId="77777777" w:rsidR="00CA59D7" w:rsidRPr="00FF5684" w:rsidRDefault="00C03B6F">
            <w:pPr>
              <w:ind w:left="57"/>
              <w:rPr>
                <w:rFonts w:ascii="Arial Narrow" w:hAnsi="Arial Narrow"/>
                <w:sz w:val="20"/>
                <w:szCs w:val="20"/>
                <w:lang w:val="en-GB"/>
              </w:rPr>
            </w:pPr>
            <w:r w:rsidRPr="00FF5684">
              <w:rPr>
                <w:rFonts w:ascii="Arial Narrow" w:hAnsi="Arial Narrow"/>
                <w:sz w:val="20"/>
                <w:szCs w:val="20"/>
                <w:lang w:val="en-GB"/>
              </w:rPr>
              <w:t>Date</w:t>
            </w:r>
          </w:p>
        </w:tc>
        <w:tc>
          <w:tcPr>
            <w:tcW w:w="3472" w:type="dxa"/>
            <w:tcBorders>
              <w:top w:val="nil"/>
              <w:left w:val="nil"/>
              <w:bottom w:val="nil"/>
              <w:right w:val="nil"/>
            </w:tcBorders>
            <w:shd w:val="clear" w:color="auto" w:fill="auto"/>
            <w:tcMar>
              <w:top w:w="80" w:type="dxa"/>
              <w:left w:w="80" w:type="dxa"/>
              <w:bottom w:w="80" w:type="dxa"/>
              <w:right w:w="80" w:type="dxa"/>
            </w:tcMar>
          </w:tcPr>
          <w:p w14:paraId="6502C72B" w14:textId="77777777" w:rsidR="00CA59D7" w:rsidRPr="00FF5684" w:rsidRDefault="00C03B6F" w:rsidP="00B47DDA">
            <w:pPr>
              <w:jc w:val="right"/>
              <w:rPr>
                <w:rFonts w:ascii="Arial Narrow" w:hAnsi="Arial Narrow"/>
                <w:sz w:val="20"/>
                <w:szCs w:val="20"/>
                <w:lang w:val="en-GB"/>
              </w:rPr>
            </w:pPr>
            <w:r w:rsidRPr="00FF5684">
              <w:rPr>
                <w:rFonts w:ascii="Arial Narrow" w:hAnsi="Arial Narrow"/>
                <w:sz w:val="20"/>
                <w:szCs w:val="20"/>
                <w:lang w:val="en-GB"/>
              </w:rPr>
              <w:t xml:space="preserve">Course coordinator                                                      </w:t>
            </w:r>
          </w:p>
        </w:tc>
        <w:tc>
          <w:tcPr>
            <w:tcW w:w="3728" w:type="dxa"/>
            <w:tcBorders>
              <w:top w:val="nil"/>
              <w:left w:val="nil"/>
              <w:bottom w:val="nil"/>
              <w:right w:val="nil"/>
            </w:tcBorders>
            <w:shd w:val="clear" w:color="auto" w:fill="auto"/>
            <w:tcMar>
              <w:top w:w="80" w:type="dxa"/>
              <w:left w:w="137" w:type="dxa"/>
              <w:bottom w:w="80" w:type="dxa"/>
              <w:right w:w="80" w:type="dxa"/>
            </w:tcMar>
          </w:tcPr>
          <w:p w14:paraId="369FA645" w14:textId="2D97E639" w:rsidR="00CA59D7" w:rsidRPr="00FF5684" w:rsidRDefault="00A54757">
            <w:pPr>
              <w:ind w:left="57"/>
              <w:rPr>
                <w:rFonts w:ascii="Arial Narrow" w:hAnsi="Arial Narrow"/>
                <w:sz w:val="20"/>
                <w:szCs w:val="20"/>
                <w:lang w:val="en-GB"/>
              </w:rPr>
            </w:pPr>
            <w:r w:rsidRPr="00FF5684">
              <w:rPr>
                <w:rFonts w:ascii="Arial Narrow" w:hAnsi="Arial Narrow"/>
                <w:sz w:val="20"/>
                <w:szCs w:val="20"/>
                <w:lang w:val="en-GB"/>
              </w:rPr>
              <w:t xml:space="preserve">    </w:t>
            </w:r>
          </w:p>
        </w:tc>
      </w:tr>
      <w:tr w:rsidR="00CA59D7" w:rsidRPr="00FF5684" w14:paraId="0818ED61" w14:textId="77777777">
        <w:trPr>
          <w:trHeight w:val="433"/>
        </w:trPr>
        <w:tc>
          <w:tcPr>
            <w:tcW w:w="2448" w:type="dxa"/>
            <w:tcBorders>
              <w:top w:val="nil"/>
              <w:left w:val="nil"/>
              <w:bottom w:val="nil"/>
              <w:right w:val="nil"/>
            </w:tcBorders>
            <w:shd w:val="clear" w:color="auto" w:fill="auto"/>
            <w:tcMar>
              <w:top w:w="80" w:type="dxa"/>
              <w:left w:w="137" w:type="dxa"/>
              <w:bottom w:w="80" w:type="dxa"/>
              <w:right w:w="80" w:type="dxa"/>
            </w:tcMar>
          </w:tcPr>
          <w:p w14:paraId="7F4A1473" w14:textId="61B666F0" w:rsidR="00CA59D7" w:rsidRPr="00FF5684" w:rsidRDefault="00B47DDA">
            <w:pPr>
              <w:ind w:left="57"/>
              <w:rPr>
                <w:rFonts w:ascii="Arial Narrow" w:hAnsi="Arial Narrow"/>
                <w:sz w:val="20"/>
                <w:szCs w:val="20"/>
                <w:lang w:val="en-GB"/>
              </w:rPr>
            </w:pPr>
            <w:r w:rsidRPr="00FF5684">
              <w:rPr>
                <w:rFonts w:ascii="Arial Narrow" w:hAnsi="Arial Narrow"/>
                <w:sz w:val="20"/>
                <w:szCs w:val="20"/>
                <w:lang w:val="en-GB"/>
              </w:rPr>
              <w:t>May 2021</w:t>
            </w:r>
          </w:p>
        </w:tc>
        <w:tc>
          <w:tcPr>
            <w:tcW w:w="3472" w:type="dxa"/>
            <w:tcBorders>
              <w:top w:val="nil"/>
              <w:left w:val="nil"/>
              <w:bottom w:val="nil"/>
              <w:right w:val="nil"/>
            </w:tcBorders>
            <w:shd w:val="clear" w:color="auto" w:fill="auto"/>
            <w:tcMar>
              <w:top w:w="80" w:type="dxa"/>
              <w:left w:w="80" w:type="dxa"/>
              <w:bottom w:w="80" w:type="dxa"/>
              <w:right w:w="80" w:type="dxa"/>
            </w:tcMar>
          </w:tcPr>
          <w:p w14:paraId="57FF76B0" w14:textId="349A5D02" w:rsidR="00CA59D7" w:rsidRPr="00FF5684" w:rsidRDefault="00C03B6F" w:rsidP="00B47DDA">
            <w:pPr>
              <w:jc w:val="right"/>
              <w:rPr>
                <w:rFonts w:ascii="Arial Narrow" w:hAnsi="Arial Narrow"/>
                <w:sz w:val="20"/>
                <w:szCs w:val="20"/>
                <w:lang w:val="en-GB"/>
              </w:rPr>
            </w:pPr>
            <w:r w:rsidRPr="00FF5684">
              <w:rPr>
                <w:rFonts w:ascii="Arial Narrow" w:hAnsi="Arial Narrow"/>
                <w:sz w:val="20"/>
                <w:szCs w:val="20"/>
                <w:lang w:val="en-GB"/>
              </w:rPr>
              <w:t>Prof.</w:t>
            </w:r>
            <w:r w:rsidR="0091357A" w:rsidRPr="00FF5684">
              <w:rPr>
                <w:rFonts w:ascii="Arial Narrow" w:hAnsi="Arial Narrow"/>
                <w:sz w:val="20"/>
                <w:szCs w:val="20"/>
                <w:lang w:val="en-GB"/>
              </w:rPr>
              <w:t xml:space="preserve">, PhD. Habil. </w:t>
            </w:r>
            <w:r w:rsidRPr="00FF5684">
              <w:rPr>
                <w:rFonts w:ascii="Arial Narrow" w:hAnsi="Arial Narrow"/>
                <w:b/>
                <w:bCs/>
                <w:sz w:val="20"/>
                <w:szCs w:val="20"/>
                <w:lang w:val="en-GB"/>
              </w:rPr>
              <w:t>Ana-Maria Bercu</w:t>
            </w:r>
          </w:p>
        </w:tc>
        <w:tc>
          <w:tcPr>
            <w:tcW w:w="3728" w:type="dxa"/>
            <w:tcBorders>
              <w:top w:val="nil"/>
              <w:left w:val="nil"/>
              <w:bottom w:val="nil"/>
              <w:right w:val="nil"/>
            </w:tcBorders>
            <w:shd w:val="clear" w:color="auto" w:fill="auto"/>
            <w:tcMar>
              <w:top w:w="80" w:type="dxa"/>
              <w:left w:w="137" w:type="dxa"/>
              <w:bottom w:w="80" w:type="dxa"/>
              <w:right w:w="80" w:type="dxa"/>
            </w:tcMar>
          </w:tcPr>
          <w:p w14:paraId="7E7921F7" w14:textId="7E9720A2" w:rsidR="00AD7500" w:rsidRPr="00FF5684" w:rsidRDefault="00AD7500" w:rsidP="00AD7500">
            <w:pPr>
              <w:ind w:left="57"/>
              <w:rPr>
                <w:rFonts w:ascii="Arial Narrow" w:hAnsi="Arial Narrow"/>
                <w:sz w:val="20"/>
                <w:szCs w:val="20"/>
                <w:lang w:val="en-GB"/>
              </w:rPr>
            </w:pPr>
          </w:p>
        </w:tc>
      </w:tr>
      <w:tr w:rsidR="00CA59D7" w:rsidRPr="00FF5684" w14:paraId="6B1C649C" w14:textId="77777777">
        <w:trPr>
          <w:trHeight w:val="653"/>
        </w:trPr>
        <w:tc>
          <w:tcPr>
            <w:tcW w:w="2448" w:type="dxa"/>
            <w:tcBorders>
              <w:top w:val="nil"/>
              <w:left w:val="nil"/>
              <w:bottom w:val="nil"/>
              <w:right w:val="nil"/>
            </w:tcBorders>
            <w:shd w:val="clear" w:color="auto" w:fill="auto"/>
            <w:tcMar>
              <w:top w:w="80" w:type="dxa"/>
              <w:left w:w="137" w:type="dxa"/>
              <w:bottom w:w="80" w:type="dxa"/>
              <w:right w:w="80" w:type="dxa"/>
            </w:tcMar>
          </w:tcPr>
          <w:p w14:paraId="3F576466" w14:textId="77777777" w:rsidR="00CA59D7" w:rsidRPr="00FF5684" w:rsidRDefault="00CA59D7">
            <w:pPr>
              <w:rPr>
                <w:rFonts w:ascii="Arial Narrow" w:hAnsi="Arial Narrow"/>
                <w:sz w:val="20"/>
                <w:szCs w:val="20"/>
                <w:lang w:val="en-GB"/>
              </w:rPr>
            </w:pPr>
          </w:p>
        </w:tc>
        <w:tc>
          <w:tcPr>
            <w:tcW w:w="3472" w:type="dxa"/>
            <w:tcBorders>
              <w:top w:val="nil"/>
              <w:left w:val="nil"/>
              <w:bottom w:val="nil"/>
              <w:right w:val="nil"/>
            </w:tcBorders>
            <w:shd w:val="clear" w:color="auto" w:fill="auto"/>
            <w:tcMar>
              <w:top w:w="80" w:type="dxa"/>
              <w:left w:w="137" w:type="dxa"/>
              <w:bottom w:w="80" w:type="dxa"/>
              <w:right w:w="80" w:type="dxa"/>
            </w:tcMar>
          </w:tcPr>
          <w:p w14:paraId="16B385CF" w14:textId="77777777" w:rsidR="00CA59D7" w:rsidRPr="00FF5684" w:rsidRDefault="00CA59D7">
            <w:pPr>
              <w:ind w:left="57"/>
              <w:rPr>
                <w:rFonts w:ascii="Arial Narrow" w:hAnsi="Arial Narrow"/>
                <w:sz w:val="20"/>
                <w:szCs w:val="20"/>
                <w:lang w:val="en-GB"/>
              </w:rPr>
            </w:pPr>
          </w:p>
          <w:p w14:paraId="00210722" w14:textId="77777777" w:rsidR="00CA59D7" w:rsidRPr="00FF5684" w:rsidRDefault="00CA59D7">
            <w:pPr>
              <w:ind w:left="57"/>
              <w:rPr>
                <w:rFonts w:ascii="Arial Narrow" w:hAnsi="Arial Narrow"/>
                <w:sz w:val="20"/>
                <w:szCs w:val="20"/>
                <w:lang w:val="en-GB"/>
              </w:rPr>
            </w:pPr>
          </w:p>
        </w:tc>
        <w:tc>
          <w:tcPr>
            <w:tcW w:w="3728" w:type="dxa"/>
            <w:tcBorders>
              <w:top w:val="nil"/>
              <w:left w:val="nil"/>
              <w:bottom w:val="nil"/>
              <w:right w:val="nil"/>
            </w:tcBorders>
            <w:shd w:val="clear" w:color="auto" w:fill="auto"/>
            <w:tcMar>
              <w:top w:w="80" w:type="dxa"/>
              <w:left w:w="137" w:type="dxa"/>
              <w:bottom w:w="80" w:type="dxa"/>
              <w:right w:w="80" w:type="dxa"/>
            </w:tcMar>
          </w:tcPr>
          <w:p w14:paraId="0E1B47EC" w14:textId="77777777" w:rsidR="00CA59D7" w:rsidRPr="00FF5684" w:rsidRDefault="00CA59D7">
            <w:pPr>
              <w:ind w:left="57"/>
              <w:rPr>
                <w:rFonts w:ascii="Arial Narrow" w:hAnsi="Arial Narrow"/>
                <w:sz w:val="20"/>
                <w:szCs w:val="20"/>
                <w:lang w:val="en-GB"/>
              </w:rPr>
            </w:pPr>
          </w:p>
          <w:p w14:paraId="47A2CE6D" w14:textId="77777777" w:rsidR="00CA59D7" w:rsidRPr="00FF5684" w:rsidRDefault="00CA59D7">
            <w:pPr>
              <w:ind w:left="57"/>
              <w:rPr>
                <w:rFonts w:ascii="Arial Narrow" w:hAnsi="Arial Narrow"/>
                <w:sz w:val="20"/>
                <w:szCs w:val="20"/>
                <w:lang w:val="en-GB"/>
              </w:rPr>
            </w:pPr>
          </w:p>
          <w:p w14:paraId="4BD5FB74" w14:textId="77777777" w:rsidR="00CA59D7" w:rsidRPr="00FF5684" w:rsidRDefault="00CA59D7">
            <w:pPr>
              <w:ind w:left="57"/>
              <w:rPr>
                <w:rFonts w:ascii="Arial Narrow" w:hAnsi="Arial Narrow"/>
                <w:sz w:val="20"/>
                <w:szCs w:val="20"/>
                <w:lang w:val="en-GB"/>
              </w:rPr>
            </w:pPr>
          </w:p>
        </w:tc>
      </w:tr>
    </w:tbl>
    <w:p w14:paraId="7C4518FC" w14:textId="77777777" w:rsidR="00CA59D7" w:rsidRPr="00FF5684" w:rsidRDefault="00CA59D7">
      <w:pPr>
        <w:widowControl w:val="0"/>
        <w:rPr>
          <w:rFonts w:ascii="Arial Narrow" w:hAnsi="Arial Narrow"/>
          <w:sz w:val="20"/>
          <w:szCs w:val="20"/>
          <w:lang w:val="en-GB"/>
        </w:rPr>
      </w:pPr>
    </w:p>
    <w:sectPr w:rsidR="00CA59D7" w:rsidRPr="00FF5684" w:rsidSect="00CA59D7">
      <w:headerReference w:type="default" r:id="rId9"/>
      <w:footerReference w:type="default" r:id="rId10"/>
      <w:pgSz w:w="11900" w:h="16840"/>
      <w:pgMar w:top="2268" w:right="1134"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A630D" w14:textId="77777777" w:rsidR="0042093B" w:rsidRDefault="0042093B">
      <w:r>
        <w:separator/>
      </w:r>
    </w:p>
  </w:endnote>
  <w:endnote w:type="continuationSeparator" w:id="0">
    <w:p w14:paraId="43F3D897" w14:textId="77777777" w:rsidR="0042093B" w:rsidRDefault="0042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Bold">
    <w:altName w:val="Cambri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Lucida Grande">
    <w:altName w:val="Lucida Grande"/>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BDD2D" w14:textId="77777777" w:rsidR="000D6110" w:rsidRDefault="000D611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4E5C8" w14:textId="77777777" w:rsidR="0042093B" w:rsidRDefault="0042093B">
      <w:r>
        <w:separator/>
      </w:r>
    </w:p>
  </w:footnote>
  <w:footnote w:type="continuationSeparator" w:id="0">
    <w:p w14:paraId="0526321B" w14:textId="77777777" w:rsidR="0042093B" w:rsidRDefault="00420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4C00B" w14:textId="77777777" w:rsidR="000D6110" w:rsidRDefault="000D6110">
    <w:pPr>
      <w:pStyle w:val="Header"/>
    </w:pPr>
    <w:r>
      <w:rPr>
        <w:rFonts w:ascii="Calibri" w:eastAsia="Calibri" w:hAnsi="Calibri" w:cs="Calibri"/>
        <w:b/>
        <w:bCs/>
        <w:noProof/>
        <w:color w:val="808080"/>
        <w:sz w:val="36"/>
        <w:szCs w:val="36"/>
        <w:u w:color="808080"/>
      </w:rPr>
      <w:drawing>
        <wp:inline distT="0" distB="0" distL="0" distR="0" wp14:anchorId="4BEB7577" wp14:editId="23063697">
          <wp:extent cx="5935980" cy="999877"/>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1"/>
                  <a:stretch>
                    <a:fillRect/>
                  </a:stretch>
                </pic:blipFill>
                <pic:spPr>
                  <a:xfrm>
                    <a:off x="0" y="0"/>
                    <a:ext cx="5935980" cy="999877"/>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A23"/>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E22ED"/>
    <w:multiLevelType w:val="hybridMultilevel"/>
    <w:tmpl w:val="49EA1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B654E"/>
    <w:multiLevelType w:val="hybridMultilevel"/>
    <w:tmpl w:val="7B08490C"/>
    <w:lvl w:ilvl="0" w:tplc="DCFADB6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2866A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FA811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F410B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265CA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34B1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3388EC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C1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AFCCE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49C3319"/>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8941A1"/>
    <w:multiLevelType w:val="hybridMultilevel"/>
    <w:tmpl w:val="EFAE6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E2072"/>
    <w:multiLevelType w:val="hybridMultilevel"/>
    <w:tmpl w:val="C55E2908"/>
    <w:lvl w:ilvl="0" w:tplc="6A140062">
      <w:start w:val="1"/>
      <w:numFmt w:val="bullet"/>
      <w:lvlText w:val="•"/>
      <w:lvlJc w:val="left"/>
      <w:pPr>
        <w:tabs>
          <w:tab w:val="num" w:pos="720"/>
        </w:tabs>
        <w:ind w:left="77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EFAB8">
      <w:start w:val="1"/>
      <w:numFmt w:val="bullet"/>
      <w:lvlText w:val="o"/>
      <w:lvlJc w:val="left"/>
      <w:pPr>
        <w:tabs>
          <w:tab w:val="num" w:pos="1440"/>
        </w:tabs>
        <w:ind w:left="149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BCAB49E">
      <w:start w:val="1"/>
      <w:numFmt w:val="bullet"/>
      <w:lvlText w:val="▪"/>
      <w:lvlJc w:val="left"/>
      <w:pPr>
        <w:tabs>
          <w:tab w:val="num" w:pos="2160"/>
        </w:tabs>
        <w:ind w:left="22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D22B9C">
      <w:start w:val="1"/>
      <w:numFmt w:val="bullet"/>
      <w:lvlText w:val="•"/>
      <w:lvlJc w:val="left"/>
      <w:pPr>
        <w:tabs>
          <w:tab w:val="num" w:pos="2880"/>
        </w:tabs>
        <w:ind w:left="293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82386">
      <w:start w:val="1"/>
      <w:numFmt w:val="bullet"/>
      <w:lvlText w:val="o"/>
      <w:lvlJc w:val="left"/>
      <w:pPr>
        <w:tabs>
          <w:tab w:val="num" w:pos="3600"/>
        </w:tabs>
        <w:ind w:left="365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A468CC">
      <w:start w:val="1"/>
      <w:numFmt w:val="bullet"/>
      <w:lvlText w:val="▪"/>
      <w:lvlJc w:val="left"/>
      <w:pPr>
        <w:tabs>
          <w:tab w:val="num" w:pos="4320"/>
        </w:tabs>
        <w:ind w:left="437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DC68BE">
      <w:start w:val="1"/>
      <w:numFmt w:val="bullet"/>
      <w:lvlText w:val="•"/>
      <w:lvlJc w:val="left"/>
      <w:pPr>
        <w:tabs>
          <w:tab w:val="num" w:pos="5040"/>
        </w:tabs>
        <w:ind w:left="509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9B654FC">
      <w:start w:val="1"/>
      <w:numFmt w:val="bullet"/>
      <w:lvlText w:val="o"/>
      <w:lvlJc w:val="left"/>
      <w:pPr>
        <w:tabs>
          <w:tab w:val="num" w:pos="5760"/>
        </w:tabs>
        <w:ind w:left="581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8FC1F0E">
      <w:start w:val="1"/>
      <w:numFmt w:val="bullet"/>
      <w:lvlText w:val="▪"/>
      <w:lvlJc w:val="left"/>
      <w:pPr>
        <w:tabs>
          <w:tab w:val="num" w:pos="6480"/>
        </w:tabs>
        <w:ind w:left="653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A7A4D81"/>
    <w:multiLevelType w:val="hybridMultilevel"/>
    <w:tmpl w:val="2DE4DF72"/>
    <w:lvl w:ilvl="0" w:tplc="D5EA21E4">
      <w:start w:val="1"/>
      <w:numFmt w:val="decimal"/>
      <w:lvlText w:val="%1."/>
      <w:lvlJc w:val="left"/>
      <w:pPr>
        <w:ind w:left="41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1674BC">
      <w:start w:val="1"/>
      <w:numFmt w:val="lowerLetter"/>
      <w:lvlText w:val="%2."/>
      <w:lvlJc w:val="left"/>
      <w:pPr>
        <w:ind w:left="11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F7C7122">
      <w:start w:val="1"/>
      <w:numFmt w:val="lowerRoman"/>
      <w:lvlText w:val="%3."/>
      <w:lvlJc w:val="left"/>
      <w:pPr>
        <w:ind w:left="185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8B645B2">
      <w:start w:val="1"/>
      <w:numFmt w:val="decimal"/>
      <w:lvlText w:val="%4."/>
      <w:lvlJc w:val="left"/>
      <w:pPr>
        <w:ind w:left="257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BB406F2">
      <w:start w:val="1"/>
      <w:numFmt w:val="lowerLetter"/>
      <w:lvlText w:val="%5."/>
      <w:lvlJc w:val="left"/>
      <w:pPr>
        <w:ind w:left="329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2633F2">
      <w:start w:val="1"/>
      <w:numFmt w:val="lowerRoman"/>
      <w:lvlText w:val="%6."/>
      <w:lvlJc w:val="left"/>
      <w:pPr>
        <w:ind w:left="401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8F669DC">
      <w:start w:val="1"/>
      <w:numFmt w:val="decimal"/>
      <w:lvlText w:val="%7."/>
      <w:lvlJc w:val="left"/>
      <w:pPr>
        <w:ind w:left="473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688452">
      <w:start w:val="1"/>
      <w:numFmt w:val="lowerLetter"/>
      <w:lvlText w:val="%8."/>
      <w:lvlJc w:val="left"/>
      <w:pPr>
        <w:ind w:left="545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A94F470">
      <w:start w:val="1"/>
      <w:numFmt w:val="lowerRoman"/>
      <w:lvlText w:val="%9."/>
      <w:lvlJc w:val="left"/>
      <w:pPr>
        <w:ind w:left="6177"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6AAD324E"/>
    <w:multiLevelType w:val="multilevel"/>
    <w:tmpl w:val="DB7480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CD60AB4"/>
    <w:multiLevelType w:val="hybridMultilevel"/>
    <w:tmpl w:val="7C3CA1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0"/>
  </w:num>
  <w:num w:numId="5">
    <w:abstractNumId w:val="1"/>
  </w:num>
  <w:num w:numId="6">
    <w:abstractNumId w:val="8"/>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9D7"/>
    <w:rsid w:val="00084F19"/>
    <w:rsid w:val="0009439F"/>
    <w:rsid w:val="000B0FA6"/>
    <w:rsid w:val="000D5B1F"/>
    <w:rsid w:val="000D6110"/>
    <w:rsid w:val="000E541A"/>
    <w:rsid w:val="00150EFD"/>
    <w:rsid w:val="0018393E"/>
    <w:rsid w:val="0018691A"/>
    <w:rsid w:val="001915DE"/>
    <w:rsid w:val="0027302B"/>
    <w:rsid w:val="002C7B09"/>
    <w:rsid w:val="00302270"/>
    <w:rsid w:val="0033615C"/>
    <w:rsid w:val="00351291"/>
    <w:rsid w:val="00351BA4"/>
    <w:rsid w:val="00361C6F"/>
    <w:rsid w:val="00364E2C"/>
    <w:rsid w:val="00367016"/>
    <w:rsid w:val="003B1B51"/>
    <w:rsid w:val="0042093B"/>
    <w:rsid w:val="004330BB"/>
    <w:rsid w:val="00452AF3"/>
    <w:rsid w:val="0047562B"/>
    <w:rsid w:val="0047642E"/>
    <w:rsid w:val="00487BFC"/>
    <w:rsid w:val="004C37C7"/>
    <w:rsid w:val="004E7F75"/>
    <w:rsid w:val="005032CA"/>
    <w:rsid w:val="005418B5"/>
    <w:rsid w:val="005432AC"/>
    <w:rsid w:val="005E6604"/>
    <w:rsid w:val="006043E8"/>
    <w:rsid w:val="006120A5"/>
    <w:rsid w:val="00630AED"/>
    <w:rsid w:val="00632411"/>
    <w:rsid w:val="006603A2"/>
    <w:rsid w:val="006743C7"/>
    <w:rsid w:val="0068517A"/>
    <w:rsid w:val="006B129C"/>
    <w:rsid w:val="006C2EEE"/>
    <w:rsid w:val="00706302"/>
    <w:rsid w:val="007343E5"/>
    <w:rsid w:val="00740C9A"/>
    <w:rsid w:val="007449B0"/>
    <w:rsid w:val="007473D3"/>
    <w:rsid w:val="00754608"/>
    <w:rsid w:val="007554B0"/>
    <w:rsid w:val="00756DAC"/>
    <w:rsid w:val="00764E57"/>
    <w:rsid w:val="007745F0"/>
    <w:rsid w:val="00794245"/>
    <w:rsid w:val="007C4C05"/>
    <w:rsid w:val="007D5B2E"/>
    <w:rsid w:val="008123C3"/>
    <w:rsid w:val="008378B1"/>
    <w:rsid w:val="008A34A0"/>
    <w:rsid w:val="008C4744"/>
    <w:rsid w:val="008D32F7"/>
    <w:rsid w:val="0091357A"/>
    <w:rsid w:val="00936DFF"/>
    <w:rsid w:val="00995615"/>
    <w:rsid w:val="009A4A77"/>
    <w:rsid w:val="009E0C62"/>
    <w:rsid w:val="009E31A1"/>
    <w:rsid w:val="00A04371"/>
    <w:rsid w:val="00A430D3"/>
    <w:rsid w:val="00A54757"/>
    <w:rsid w:val="00A640EB"/>
    <w:rsid w:val="00A66922"/>
    <w:rsid w:val="00A94F27"/>
    <w:rsid w:val="00AA29B1"/>
    <w:rsid w:val="00AA3185"/>
    <w:rsid w:val="00AA5863"/>
    <w:rsid w:val="00AC0FBC"/>
    <w:rsid w:val="00AD7500"/>
    <w:rsid w:val="00B109F9"/>
    <w:rsid w:val="00B40FF5"/>
    <w:rsid w:val="00B42B55"/>
    <w:rsid w:val="00B42BD7"/>
    <w:rsid w:val="00B47DDA"/>
    <w:rsid w:val="00BB29C4"/>
    <w:rsid w:val="00C03B6F"/>
    <w:rsid w:val="00C215DC"/>
    <w:rsid w:val="00C546DD"/>
    <w:rsid w:val="00C80B76"/>
    <w:rsid w:val="00C929E4"/>
    <w:rsid w:val="00CA59D7"/>
    <w:rsid w:val="00CD465E"/>
    <w:rsid w:val="00E318ED"/>
    <w:rsid w:val="00E56A34"/>
    <w:rsid w:val="00EE14B4"/>
    <w:rsid w:val="00F6097B"/>
    <w:rsid w:val="00FD33ED"/>
    <w:rsid w:val="00FD3B13"/>
    <w:rsid w:val="00FF568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89917F"/>
  <w15:docId w15:val="{816B41EE-C003-2242-9263-95FFB902E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A59D7"/>
    <w:rPr>
      <w:rFonts w:ascii="Cambria" w:eastAsia="Cambria" w:hAnsi="Cambria" w:cs="Cambria"/>
      <w:color w:val="000000"/>
      <w:sz w:val="24"/>
      <w:szCs w:val="24"/>
      <w:u w:color="000000"/>
      <w:lang w:val="en-US"/>
    </w:rPr>
  </w:style>
  <w:style w:type="paragraph" w:styleId="Heading1">
    <w:name w:val="heading 1"/>
    <w:basedOn w:val="Normal"/>
    <w:next w:val="Normal"/>
    <w:link w:val="Heading1Char"/>
    <w:uiPriority w:val="99"/>
    <w:qFormat/>
    <w:rsid w:val="00C929E4"/>
    <w:pPr>
      <w:keepNext/>
      <w:pBdr>
        <w:top w:val="none" w:sz="0" w:space="0" w:color="auto"/>
        <w:left w:val="none" w:sz="0" w:space="0" w:color="auto"/>
        <w:bottom w:val="none" w:sz="0" w:space="0" w:color="auto"/>
        <w:right w:val="none" w:sz="0" w:space="0" w:color="auto"/>
        <w:between w:val="none" w:sz="0" w:space="0" w:color="auto"/>
        <w:bar w:val="none" w:sz="0" w:color="auto"/>
      </w:pBdr>
      <w:shd w:val="clear" w:color="auto" w:fill="737373"/>
      <w:tabs>
        <w:tab w:val="left" w:pos="426"/>
        <w:tab w:val="num" w:pos="1440"/>
      </w:tabs>
      <w:spacing w:before="120" w:after="240"/>
      <w:outlineLvl w:val="0"/>
    </w:pPr>
    <w:rPr>
      <w:rFonts w:ascii="Tahoma-Bold" w:eastAsia="Times New Roman" w:hAnsi="Tahoma-Bold" w:cs="Times New Roman"/>
      <w:b/>
      <w:color w:val="FFFFFF"/>
      <w:sz w:val="34"/>
      <w:szCs w:val="20"/>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A59D7"/>
    <w:rPr>
      <w:u w:val="single"/>
    </w:rPr>
  </w:style>
  <w:style w:type="paragraph" w:styleId="Header">
    <w:name w:val="header"/>
    <w:rsid w:val="00CA59D7"/>
    <w:pPr>
      <w:tabs>
        <w:tab w:val="center" w:pos="4320"/>
        <w:tab w:val="right" w:pos="8640"/>
      </w:tabs>
    </w:pPr>
    <w:rPr>
      <w:rFonts w:ascii="Cambria" w:eastAsia="Cambria" w:hAnsi="Cambria" w:cs="Cambria"/>
      <w:color w:val="000000"/>
      <w:sz w:val="24"/>
      <w:szCs w:val="24"/>
      <w:u w:color="000000"/>
      <w:lang w:val="en-US"/>
    </w:rPr>
  </w:style>
  <w:style w:type="paragraph" w:customStyle="1" w:styleId="HeaderFooter">
    <w:name w:val="Header &amp; Footer"/>
    <w:rsid w:val="00CA59D7"/>
    <w:pPr>
      <w:tabs>
        <w:tab w:val="right" w:pos="9020"/>
      </w:tabs>
    </w:pPr>
    <w:rPr>
      <w:rFonts w:ascii="Helvetica" w:hAnsi="Helvetica" w:cs="Arial Unicode MS"/>
      <w:color w:val="000000"/>
      <w:sz w:val="24"/>
      <w:szCs w:val="24"/>
    </w:rPr>
  </w:style>
  <w:style w:type="paragraph" w:customStyle="1" w:styleId="ColorfulList-Accent11">
    <w:name w:val="Colorful List - Accent 11"/>
    <w:rsid w:val="00CA59D7"/>
    <w:pPr>
      <w:ind w:left="720"/>
    </w:pPr>
    <w:rPr>
      <w:rFonts w:ascii="Cambria" w:eastAsia="Cambria" w:hAnsi="Cambria" w:cs="Cambria"/>
      <w:color w:val="000000"/>
      <w:sz w:val="24"/>
      <w:szCs w:val="24"/>
      <w:u w:color="000000"/>
      <w:lang w:val="en-US"/>
    </w:rPr>
  </w:style>
  <w:style w:type="paragraph" w:styleId="ListParagraph">
    <w:name w:val="List Paragraph"/>
    <w:uiPriority w:val="34"/>
    <w:qFormat/>
    <w:rsid w:val="00CA59D7"/>
    <w:pPr>
      <w:ind w:left="720"/>
    </w:pPr>
    <w:rPr>
      <w:rFonts w:cs="Arial Unicode MS"/>
      <w:color w:val="000000"/>
      <w:sz w:val="24"/>
      <w:szCs w:val="24"/>
      <w:u w:color="000000"/>
      <w:lang w:val="en-US"/>
    </w:rPr>
  </w:style>
  <w:style w:type="paragraph" w:styleId="BalloonText">
    <w:name w:val="Balloon Text"/>
    <w:basedOn w:val="Normal"/>
    <w:link w:val="BalloonTextChar"/>
    <w:uiPriority w:val="99"/>
    <w:semiHidden/>
    <w:unhideWhenUsed/>
    <w:rsid w:val="00630A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0AED"/>
    <w:rPr>
      <w:rFonts w:ascii="Lucida Grande" w:eastAsia="Cambria" w:hAnsi="Lucida Grande" w:cs="Lucida Grande"/>
      <w:color w:val="000000"/>
      <w:sz w:val="18"/>
      <w:szCs w:val="18"/>
      <w:u w:color="000000"/>
      <w:lang w:val="en-US"/>
    </w:rPr>
  </w:style>
  <w:style w:type="character" w:customStyle="1" w:styleId="apple-converted-space">
    <w:name w:val="apple-converted-space"/>
    <w:rsid w:val="0068517A"/>
  </w:style>
  <w:style w:type="character" w:styleId="Emphasis">
    <w:name w:val="Emphasis"/>
    <w:basedOn w:val="DefaultParagraphFont"/>
    <w:uiPriority w:val="20"/>
    <w:qFormat/>
    <w:rsid w:val="00AC0FBC"/>
    <w:rPr>
      <w:i/>
      <w:iCs/>
    </w:rPr>
  </w:style>
  <w:style w:type="character" w:customStyle="1" w:styleId="st">
    <w:name w:val="st"/>
    <w:basedOn w:val="DefaultParagraphFont"/>
    <w:rsid w:val="00AC0FBC"/>
  </w:style>
  <w:style w:type="character" w:customStyle="1" w:styleId="Heading1Char">
    <w:name w:val="Heading 1 Char"/>
    <w:basedOn w:val="DefaultParagraphFont"/>
    <w:link w:val="Heading1"/>
    <w:uiPriority w:val="99"/>
    <w:rsid w:val="00C929E4"/>
    <w:rPr>
      <w:rFonts w:ascii="Tahoma-Bold" w:eastAsia="Times New Roman" w:hAnsi="Tahoma-Bold"/>
      <w:b/>
      <w:color w:val="FFFFFF"/>
      <w:sz w:val="34"/>
      <w:bdr w:val="none" w:sz="0" w:space="0" w:color="auto"/>
      <w:shd w:val="clear" w:color="auto" w:fill="73737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thensjournals.gr/law/2017-3-3-4-Tofan.pdf"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journals.openedition.org/factsreports/42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3D97D35E35816348892B5986A6234133" ma:contentTypeVersion="1" ma:contentTypeDescription="Upload an image." ma:contentTypeScope="" ma:versionID="ba1f3e67eee9de498741bb1ca42951be">
  <xsd:schema xmlns:xsd="http://www.w3.org/2001/XMLSchema" xmlns:xs="http://www.w3.org/2001/XMLSchema" xmlns:p="http://schemas.microsoft.com/office/2006/metadata/properties" xmlns:ns1="http://schemas.microsoft.com/sharepoint/v3" xmlns:ns2="F125E9CB-D085-4335-BA78-5437DB4B3AED" xmlns:ns3="http://schemas.microsoft.com/sharepoint/v3/fields" targetNamespace="http://schemas.microsoft.com/office/2006/metadata/properties" ma:root="true" ma:fieldsID="0b78abe8f59ab8615893bed818883407" ns1:_="" ns2:_="" ns3:_="">
    <xsd:import namespace="http://schemas.microsoft.com/sharepoint/v3"/>
    <xsd:import namespace="F125E9CB-D085-4335-BA78-5437DB4B3AED"/>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25E9CB-D085-4335-BA78-5437DB4B3AED"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CreateDate xmlns="F125E9CB-D085-4335-BA78-5437DB4B3AED" xsi:nil="true"/>
    <PublishingExpirationDate xmlns="http://schemas.microsoft.com/sharepoint/v3"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2FD76C49-F247-479C-94EA-FFF9CA703DD6}"/>
</file>

<file path=customXml/itemProps2.xml><?xml version="1.0" encoding="utf-8"?>
<ds:datastoreItem xmlns:ds="http://schemas.openxmlformats.org/officeDocument/2006/customXml" ds:itemID="{53EBAD51-F32C-4289-A67D-9800DFB93C2C}"/>
</file>

<file path=customXml/itemProps3.xml><?xml version="1.0" encoding="utf-8"?>
<ds:datastoreItem xmlns:ds="http://schemas.openxmlformats.org/officeDocument/2006/customXml" ds:itemID="{51F3BA7F-D7EF-4CC4-86F6-3A4979A08F44}"/>
</file>

<file path=docProps/app.xml><?xml version="1.0" encoding="utf-8"?>
<Properties xmlns="http://schemas.openxmlformats.org/officeDocument/2006/extended-properties" xmlns:vt="http://schemas.openxmlformats.org/officeDocument/2006/docPropsVTypes">
  <Template>Normal.dotm</Template>
  <TotalTime>2</TotalTime>
  <Pages>5</Pages>
  <Words>1613</Words>
  <Characters>9362</Characters>
  <Application>Microsoft Office Word</Application>
  <DocSecurity>0</DocSecurity>
  <Lines>78</Lines>
  <Paragraphs>21</Paragraphs>
  <ScaleCrop>false</ScaleCrop>
  <Company>are mere</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FORMS OF EMPLOYMENT ACROSS EUROPEAN UNION</dc:title>
  <dc:creator>yolanda</dc:creator>
  <cp:keywords/>
  <dc:description>The students will have a solid knowledge about the labour relations in the EU and about the importance of IT skills for responding to the concept of Smart Cities. They are able to work within the inter-European framework and the different national systems of industrial relations and labour law. _x000d_
</dc:description>
  <cp:lastModifiedBy>Diana Radu</cp:lastModifiedBy>
  <cp:revision>4</cp:revision>
  <dcterms:created xsi:type="dcterms:W3CDTF">2021-05-17T16:10:00Z</dcterms:created>
  <dcterms:modified xsi:type="dcterms:W3CDTF">2021-05-20T15:38:00Z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0x0101009148F5A04DDD49CBA7127AADA5FB792B00AADE34325A8B49CDA8BB4DB53328F214003D97D35E35816348892B5986A6234133</vt:lpwstr>
  </property>
</Properties>
</file>